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01: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0 01 001</w:t>
            </w:r>
          </w:p>
        </w:tc>
        <w:tc>
          <w:tcPr>
            <w:tcW w:type="dxa" w:w="1514"/>
          </w:tcPr>
          <w:p>
            <w:pPr>
              <w:spacing w:before="20" w:after="20"/>
            </w:pPr>
            <w:r/>
            <w:r>
              <w:rPr>
                <w:rFonts w:ascii="Verdana" w:hAnsi="Verdana"/>
                <w:b w:val="0"/>
                <w:sz w:val="16"/>
              </w:rPr>
              <w:t>WMO block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0 01 002</w:t>
            </w:r>
          </w:p>
        </w:tc>
        <w:tc>
          <w:tcPr>
            <w:tcW w:type="dxa" w:w="1514"/>
          </w:tcPr>
          <w:p>
            <w:pPr>
              <w:spacing w:before="20" w:after="20"/>
            </w:pPr>
            <w:r/>
            <w:r>
              <w:rPr>
                <w:rFonts w:ascii="Verdana" w:hAnsi="Verdana"/>
                <w:b w:val="0"/>
                <w:sz w:val="16"/>
              </w:rPr>
              <w:t>WMO station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0 01 003</w:t>
            </w:r>
          </w:p>
        </w:tc>
        <w:tc>
          <w:tcPr>
            <w:tcW w:type="dxa" w:w="1514"/>
          </w:tcPr>
          <w:p>
            <w:pPr>
              <w:spacing w:before="20" w:after="20"/>
            </w:pPr>
            <w:r/>
            <w:r>
              <w:rPr>
                <w:rFonts w:ascii="Verdana" w:hAnsi="Verdana"/>
                <w:b w:val="0"/>
                <w:sz w:val="16"/>
              </w:rPr>
              <w:t>WMO Region number/geographical area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0 01 004</w:t>
            </w:r>
          </w:p>
        </w:tc>
        <w:tc>
          <w:tcPr>
            <w:tcW w:type="dxa" w:w="1514"/>
          </w:tcPr>
          <w:p>
            <w:pPr>
              <w:spacing w:before="20" w:after="20"/>
            </w:pPr>
            <w:r/>
            <w:r>
              <w:rPr>
                <w:rFonts w:ascii="Verdana" w:hAnsi="Verdana"/>
                <w:b w:val="0"/>
                <w:sz w:val="16"/>
              </w:rPr>
              <w:t>WMO Region sub-area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42: Range of value for parameter 0 04 015 limited from -99 to 99; CREX common sequence D 06 019 being the original sequence with 2 characters only for the corresponding descriptor.</w:t>
            </w:r>
          </w:p>
        </w:tc>
      </w:tr>
      <w:tr>
        <w:trPr>
          <w:cantSplit/>
        </w:trPr>
        <w:tc>
          <w:tcPr>
            <w:tcW w:type="dxa" w:w="1514"/>
          </w:tcPr>
          <w:p>
            <w:pPr>
              <w:spacing w:before="20" w:after="20"/>
            </w:pPr>
            <w:r/>
            <w:r>
              <w:rPr>
                <w:rFonts w:ascii="Verdana" w:hAnsi="Verdana"/>
                <w:b w:val="0"/>
                <w:sz w:val="16"/>
              </w:rPr>
              <w:t>0 01 005</w:t>
            </w:r>
          </w:p>
        </w:tc>
        <w:tc>
          <w:tcPr>
            <w:tcW w:type="dxa" w:w="1514"/>
          </w:tcPr>
          <w:p>
            <w:pPr>
              <w:spacing w:before="20" w:after="20"/>
            </w:pPr>
            <w:r/>
            <w:r>
              <w:rPr>
                <w:rFonts w:ascii="Verdana" w:hAnsi="Verdana"/>
                <w:b w:val="0"/>
                <w:sz w:val="16"/>
              </w:rPr>
              <w:t>Buoy/platform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0 01 006</w:t>
            </w:r>
          </w:p>
        </w:tc>
        <w:tc>
          <w:tcPr>
            <w:tcW w:type="dxa" w:w="1514"/>
          </w:tcPr>
          <w:p>
            <w:pPr>
              <w:spacing w:before="20" w:after="20"/>
            </w:pPr>
            <w:r/>
            <w:r>
              <w:rPr>
                <w:rFonts w:ascii="Verdana" w:hAnsi="Verdana"/>
                <w:b w:val="0"/>
                <w:sz w:val="16"/>
              </w:rPr>
              <w:t>Aircraft flight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0 01 007</w:t>
            </w:r>
          </w:p>
        </w:tc>
        <w:tc>
          <w:tcPr>
            <w:tcW w:type="dxa" w:w="1514"/>
          </w:tcPr>
          <w:p>
            <w:pPr>
              <w:spacing w:before="20" w:after="20"/>
            </w:pPr>
            <w:r/>
            <w:r>
              <w:rPr>
                <w:rFonts w:ascii="Verdana" w:hAnsi="Verdana"/>
                <w:b w:val="0"/>
                <w:sz w:val="16"/>
              </w:rPr>
              <w:t>Satellite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0 01 008</w:t>
            </w:r>
          </w:p>
        </w:tc>
        <w:tc>
          <w:tcPr>
            <w:tcW w:type="dxa" w:w="1514"/>
          </w:tcPr>
          <w:p>
            <w:pPr>
              <w:spacing w:before="20" w:after="20"/>
            </w:pPr>
            <w:r/>
            <w:r>
              <w:rPr>
                <w:rFonts w:ascii="Verdana" w:hAnsi="Verdana"/>
                <w:b w:val="0"/>
                <w:sz w:val="16"/>
              </w:rPr>
              <w:t>Aircraft registration number or other 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0 01 009</w:t>
            </w:r>
          </w:p>
        </w:tc>
        <w:tc>
          <w:tcPr>
            <w:tcW w:type="dxa" w:w="1514"/>
          </w:tcPr>
          <w:p>
            <w:pPr>
              <w:spacing w:before="20" w:after="20"/>
            </w:pPr>
            <w:r/>
            <w:r>
              <w:rPr>
                <w:rFonts w:ascii="Verdana" w:hAnsi="Verdana"/>
                <w:b w:val="0"/>
                <w:sz w:val="16"/>
              </w:rPr>
              <w:t>Type of commercial aircraft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0 01 010</w:t>
            </w:r>
          </w:p>
        </w:tc>
        <w:tc>
          <w:tcPr>
            <w:tcW w:type="dxa" w:w="1514"/>
          </w:tcPr>
          <w:p>
            <w:pPr>
              <w:spacing w:before="20" w:after="20"/>
            </w:pPr>
            <w:r/>
            <w:r>
              <w:rPr>
                <w:rFonts w:ascii="Verdana" w:hAnsi="Verdana"/>
                <w:b w:val="0"/>
                <w:sz w:val="16"/>
              </w:rPr>
              <w:t>Stationary buoy platform identifier; e.g. C-MAN buoys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0 01 011</w:t>
            </w:r>
          </w:p>
        </w:tc>
        <w:tc>
          <w:tcPr>
            <w:tcW w:type="dxa" w:w="1514"/>
          </w:tcPr>
          <w:p>
            <w:pPr>
              <w:spacing w:before="20" w:after="20"/>
            </w:pPr>
            <w:r/>
            <w:r>
              <w:rPr>
                <w:rFonts w:ascii="Verdana" w:hAnsi="Verdana"/>
                <w:b w:val="0"/>
                <w:sz w:val="16"/>
              </w:rPr>
              <w:t>Ship or mobile land station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0 01 012</w:t>
            </w:r>
          </w:p>
        </w:tc>
        <w:tc>
          <w:tcPr>
            <w:tcW w:type="dxa" w:w="1514"/>
          </w:tcPr>
          <w:p>
            <w:pPr>
              <w:spacing w:before="20" w:after="20"/>
            </w:pPr>
            <w:r/>
            <w:r>
              <w:rPr>
                <w:rFonts w:ascii="Verdana" w:hAnsi="Verdana"/>
                <w:b w:val="0"/>
                <w:sz w:val="16"/>
              </w:rPr>
              <w:t>Direction of motion of moving observing platform</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125: Stationary position of ship shall be reported by 0 01 012 set to 0 and 0 01 013 set to 0. Course of ship unknown (Ds = 9) shall be reported by 0 01 012 set to 509. | Note 60: The time period indicates the duration in minutes over which the measurements have been averaged. The end of the time period is marked by the end of scan (see above).</w:t>
            </w:r>
          </w:p>
        </w:tc>
      </w:tr>
      <w:tr>
        <w:trPr>
          <w:cantSplit/>
        </w:trPr>
        <w:tc>
          <w:tcPr>
            <w:tcW w:type="dxa" w:w="1514"/>
          </w:tcPr>
          <w:p>
            <w:pPr>
              <w:spacing w:before="20" w:after="20"/>
            </w:pPr>
            <w:r/>
            <w:r>
              <w:rPr>
                <w:rFonts w:ascii="Verdana" w:hAnsi="Verdana"/>
                <w:b w:val="0"/>
                <w:sz w:val="16"/>
              </w:rPr>
              <w:t>0 01 013</w:t>
            </w:r>
          </w:p>
        </w:tc>
        <w:tc>
          <w:tcPr>
            <w:tcW w:type="dxa" w:w="1514"/>
          </w:tcPr>
          <w:p>
            <w:pPr>
              <w:spacing w:before="20" w:after="20"/>
            </w:pPr>
            <w:r/>
            <w:r>
              <w:rPr>
                <w:rFonts w:ascii="Verdana" w:hAnsi="Verdana"/>
                <w:b w:val="0"/>
                <w:sz w:val="16"/>
              </w:rPr>
              <w:t>Speed of motion of moving observing platform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60: The time period indicates the duration in minutes over which the measurements have been averaged. The end of the time period is marked by the end of scan (see above). | Note 125: Stationary position of ship shall be reported by 0 01 012 set to 0 and 0 01 013 set to 0. Course of ship unknown (Ds = 9) shall be reported by 0 01 012 set to 509.</w:t>
            </w:r>
          </w:p>
        </w:tc>
      </w:tr>
      <w:tr>
        <w:trPr>
          <w:cantSplit/>
        </w:trPr>
        <w:tc>
          <w:tcPr>
            <w:tcW w:type="dxa" w:w="1514"/>
          </w:tcPr>
          <w:p>
            <w:pPr>
              <w:spacing w:before="20" w:after="20"/>
            </w:pPr>
            <w:r/>
            <w:r>
              <w:rPr>
                <w:rFonts w:ascii="Verdana" w:hAnsi="Verdana"/>
                <w:b w:val="0"/>
                <w:sz w:val="16"/>
              </w:rPr>
              <w:t>0 01 014</w:t>
            </w:r>
          </w:p>
        </w:tc>
        <w:tc>
          <w:tcPr>
            <w:tcW w:type="dxa" w:w="1514"/>
          </w:tcPr>
          <w:p>
            <w:pPr>
              <w:spacing w:before="20" w:after="20"/>
            </w:pPr>
            <w:r/>
            <w:r>
              <w:rPr>
                <w:rFonts w:ascii="Verdana" w:hAnsi="Verdana"/>
                <w:b w:val="0"/>
                <w:sz w:val="16"/>
              </w:rPr>
              <w:t>Platform drift speed (high precision)</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0 01 015</w:t>
            </w:r>
          </w:p>
        </w:tc>
        <w:tc>
          <w:tcPr>
            <w:tcW w:type="dxa" w:w="1514"/>
          </w:tcPr>
          <w:p>
            <w:pPr>
              <w:spacing w:before="20" w:after="20"/>
            </w:pPr>
            <w:r/>
            <w:r>
              <w:rPr>
                <w:rFonts w:ascii="Verdana" w:hAnsi="Verdana"/>
                <w:b w:val="0"/>
                <w:sz w:val="16"/>
              </w:rPr>
              <w:t>Station or site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0 01 016</w:t>
            </w:r>
          </w:p>
        </w:tc>
        <w:tc>
          <w:tcPr>
            <w:tcW w:type="dxa" w:w="1514"/>
          </w:tcPr>
          <w:p>
            <w:pPr>
              <w:spacing w:before="20" w:after="20"/>
            </w:pPr>
            <w:r/>
            <w:r>
              <w:rPr>
                <w:rFonts w:ascii="Verdana" w:hAnsi="Verdana"/>
                <w:b w:val="0"/>
                <w:sz w:val="16"/>
              </w:rPr>
              <w:t>Satellite sub-identifier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0 01 018</w:t>
            </w:r>
          </w:p>
        </w:tc>
        <w:tc>
          <w:tcPr>
            <w:tcW w:type="dxa" w:w="1514"/>
          </w:tcPr>
          <w:p>
            <w:pPr>
              <w:spacing w:before="20" w:after="20"/>
            </w:pPr>
            <w:r/>
            <w:r>
              <w:rPr>
                <w:rFonts w:ascii="Verdana" w:hAnsi="Verdana"/>
                <w:b w:val="0"/>
                <w:sz w:val="16"/>
              </w:rPr>
              <w:t>Short station or site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0 01 019</w:t>
            </w:r>
          </w:p>
        </w:tc>
        <w:tc>
          <w:tcPr>
            <w:tcW w:type="dxa" w:w="1514"/>
          </w:tcPr>
          <w:p>
            <w:pPr>
              <w:spacing w:before="20" w:after="20"/>
            </w:pPr>
            <w:r/>
            <w:r>
              <w:rPr>
                <w:rFonts w:ascii="Verdana" w:hAnsi="Verdana"/>
                <w:b w:val="0"/>
                <w:sz w:val="16"/>
              </w:rPr>
              <w:t>Long station or site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0 01 020</w:t>
            </w:r>
          </w:p>
        </w:tc>
        <w:tc>
          <w:tcPr>
            <w:tcW w:type="dxa" w:w="1514"/>
          </w:tcPr>
          <w:p>
            <w:pPr>
              <w:spacing w:before="20" w:after="20"/>
            </w:pPr>
            <w:r/>
            <w:r>
              <w:rPr>
                <w:rFonts w:ascii="Verdana" w:hAnsi="Verdana"/>
                <w:b w:val="0"/>
                <w:sz w:val="16"/>
              </w:rPr>
              <w:t>WMO Region sub-area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0 01 021</w:t>
            </w:r>
          </w:p>
        </w:tc>
        <w:tc>
          <w:tcPr>
            <w:tcW w:type="dxa" w:w="1514"/>
          </w:tcPr>
          <w:p>
            <w:pPr>
              <w:spacing w:before="20" w:after="20"/>
            </w:pPr>
            <w:r/>
            <w:r>
              <w:rPr>
                <w:rFonts w:ascii="Verdana" w:hAnsi="Verdana"/>
                <w:b w:val="0"/>
                <w:sz w:val="16"/>
              </w:rPr>
              <w:t>Synoptic feature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0 01 022</w:t>
            </w:r>
          </w:p>
        </w:tc>
        <w:tc>
          <w:tcPr>
            <w:tcW w:type="dxa" w:w="1514"/>
          </w:tcPr>
          <w:p>
            <w:pPr>
              <w:spacing w:before="20" w:after="20"/>
            </w:pPr>
            <w:r/>
            <w:r>
              <w:rPr>
                <w:rFonts w:ascii="Verdana" w:hAnsi="Verdana"/>
                <w:b w:val="0"/>
                <w:sz w:val="16"/>
              </w:rPr>
              <w:t>Name of feature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1514"/>
          </w:tcPr>
          <w:p>
            <w:pPr>
              <w:spacing w:before="20" w:after="20"/>
            </w:pPr>
            <w:r/>
            <w:r>
              <w:rPr>
                <w:rFonts w:ascii="Verdana" w:hAnsi="Verdana"/>
                <w:b w:val="0"/>
                <w:sz w:val="16"/>
              </w:rPr>
              <w:t>0 01 023</w:t>
            </w:r>
          </w:p>
        </w:tc>
        <w:tc>
          <w:tcPr>
            <w:tcW w:type="dxa" w:w="1514"/>
          </w:tcPr>
          <w:p>
            <w:pPr>
              <w:spacing w:before="20" w:after="20"/>
            </w:pPr>
            <w:r/>
            <w:r>
              <w:rPr>
                <w:rFonts w:ascii="Verdana" w:hAnsi="Verdana"/>
                <w:b w:val="0"/>
                <w:sz w:val="16"/>
              </w:rPr>
              <w:t>Observation sequence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0 01 024</w:t>
            </w:r>
          </w:p>
        </w:tc>
        <w:tc>
          <w:tcPr>
            <w:tcW w:type="dxa" w:w="1514"/>
          </w:tcPr>
          <w:p>
            <w:pPr>
              <w:spacing w:before="20" w:after="20"/>
            </w:pPr>
            <w:r/>
            <w:r>
              <w:rPr>
                <w:rFonts w:ascii="Verdana" w:hAnsi="Verdana"/>
                <w:b w:val="0"/>
                <w:sz w:val="16"/>
              </w:rPr>
              <w:t>Wind speed source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0 01 025</w:t>
            </w:r>
          </w:p>
        </w:tc>
        <w:tc>
          <w:tcPr>
            <w:tcW w:type="dxa" w:w="1514"/>
          </w:tcPr>
          <w:p>
            <w:pPr>
              <w:spacing w:before="20" w:after="20"/>
            </w:pPr>
            <w:r/>
            <w:r>
              <w:rPr>
                <w:rFonts w:ascii="Verdana" w:hAnsi="Verdana"/>
                <w:b w:val="0"/>
                <w:sz w:val="16"/>
              </w:rPr>
              <w:t>Storm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148: The storm identifier (descriptor 0 01 025) has the following meaning: the first two characters shall be a numeric sequence number assigned by the originator of the message; the third character is a letter indicating the ocean basin where the storm is located, as follows:W NW Pacific OceanE NE Pacific Ocean to 140°WC NE Pacific Ocean 140°W - 180°WL N Atlantic Ocean, including Caribbean and Gulf of Mexico A N Arabian Sea B Bay of Bengal S S Indian Ocean P S Pacific Ocean F RSMC Nadi's zone in South Pacific U Australia O South China Sea T East China Sea There is no requirement that differing observers coordinate sequence numbers even though they both may be reporting the same storm.</w:t>
            </w:r>
          </w:p>
        </w:tc>
      </w:tr>
      <w:tr>
        <w:trPr>
          <w:cantSplit/>
        </w:trPr>
        <w:tc>
          <w:tcPr>
            <w:tcW w:type="dxa" w:w="1514"/>
          </w:tcPr>
          <w:p>
            <w:pPr>
              <w:spacing w:before="20" w:after="20"/>
            </w:pPr>
            <w:r/>
            <w:r>
              <w:rPr>
                <w:rFonts w:ascii="Verdana" w:hAnsi="Verdana"/>
                <w:b w:val="0"/>
                <w:sz w:val="16"/>
              </w:rPr>
              <w:t>0 01 026</w:t>
            </w:r>
          </w:p>
        </w:tc>
        <w:tc>
          <w:tcPr>
            <w:tcW w:type="dxa" w:w="1514"/>
          </w:tcPr>
          <w:p>
            <w:pPr>
              <w:spacing w:before="20" w:after="20"/>
            </w:pPr>
            <w:r/>
            <w:r>
              <w:rPr>
                <w:rFonts w:ascii="Verdana" w:hAnsi="Verdana"/>
                <w:b w:val="0"/>
                <w:sz w:val="16"/>
              </w:rPr>
              <w:t>WMO storm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43: Separation of single level satellite data into sets of BUFR messages helps compression and results inefficient data transmission and storage.</w:t>
            </w:r>
          </w:p>
        </w:tc>
      </w:tr>
      <w:tr>
        <w:trPr>
          <w:cantSplit/>
        </w:trPr>
        <w:tc>
          <w:tcPr>
            <w:tcW w:type="dxa" w:w="1514"/>
          </w:tcPr>
          <w:p>
            <w:pPr>
              <w:spacing w:before="20" w:after="20"/>
            </w:pPr>
            <w:r/>
            <w:r>
              <w:rPr>
                <w:rFonts w:ascii="Verdana" w:hAnsi="Verdana"/>
                <w:b w:val="0"/>
                <w:sz w:val="16"/>
              </w:rPr>
              <w:t>0 01 027</w:t>
            </w:r>
          </w:p>
        </w:tc>
        <w:tc>
          <w:tcPr>
            <w:tcW w:type="dxa" w:w="1514"/>
          </w:tcPr>
          <w:p>
            <w:pPr>
              <w:spacing w:before="20" w:after="20"/>
            </w:pPr>
            <w:r/>
            <w:r>
              <w:rPr>
                <w:rFonts w:ascii="Verdana" w:hAnsi="Verdana"/>
                <w:b w:val="0"/>
                <w:sz w:val="16"/>
              </w:rPr>
              <w:t>WMO long storm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182: WMO long storm name (descriptor 0 01 027): the storm name "Nameless" shall be used in those cases where an identifiable tropical disturbance has not reached tropical storm strength and has not been assigned an official name.</w:t>
            </w:r>
          </w:p>
        </w:tc>
      </w:tr>
      <w:tr>
        <w:trPr>
          <w:cantSplit/>
        </w:trPr>
        <w:tc>
          <w:tcPr>
            <w:tcW w:type="dxa" w:w="1514"/>
          </w:tcPr>
          <w:p>
            <w:pPr>
              <w:spacing w:before="20" w:after="20"/>
            </w:pPr>
            <w:r/>
            <w:r>
              <w:rPr>
                <w:rFonts w:ascii="Verdana" w:hAnsi="Verdana"/>
                <w:b w:val="0"/>
                <w:sz w:val="16"/>
              </w:rPr>
              <w:t>0 01 028</w:t>
            </w:r>
          </w:p>
        </w:tc>
        <w:tc>
          <w:tcPr>
            <w:tcW w:type="dxa" w:w="1514"/>
          </w:tcPr>
          <w:p>
            <w:pPr>
              <w:spacing w:before="20" w:after="20"/>
            </w:pPr>
            <w:r/>
            <w:r>
              <w:rPr>
                <w:rFonts w:ascii="Verdana" w:hAnsi="Verdana"/>
                <w:b w:val="0"/>
                <w:sz w:val="16"/>
              </w:rPr>
              <w:t>Aerosol optical depth (AOD) source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0 01 029</w:t>
            </w:r>
          </w:p>
        </w:tc>
        <w:tc>
          <w:tcPr>
            <w:tcW w:type="dxa" w:w="1514"/>
          </w:tcPr>
          <w:p>
            <w:pPr>
              <w:spacing w:before="20" w:after="20"/>
            </w:pPr>
            <w:r/>
            <w:r>
              <w:rPr>
                <w:rFonts w:ascii="Verdana" w:hAnsi="Verdana"/>
                <w:b w:val="0"/>
                <w:sz w:val="16"/>
              </w:rPr>
              <w:t>SSI source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0 01 030</w:t>
            </w:r>
          </w:p>
        </w:tc>
        <w:tc>
          <w:tcPr>
            <w:tcW w:type="dxa" w:w="1514"/>
          </w:tcPr>
          <w:p>
            <w:pPr>
              <w:spacing w:before="20" w:after="20"/>
            </w:pPr>
            <w:r/>
            <w:r>
              <w:rPr>
                <w:rFonts w:ascii="Verdana" w:hAnsi="Verdana"/>
                <w:b w:val="0"/>
                <w:sz w:val="16"/>
              </w:rPr>
              <w:t>Numerical model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Note 153: The value of this feature could be a string of characters, which contain the name of the model and other useful elements such as the model mesh.</w:t>
            </w:r>
          </w:p>
        </w:tc>
      </w:tr>
      <w:tr>
        <w:trPr>
          <w:cantSplit/>
        </w:trPr>
        <w:tc>
          <w:tcPr>
            <w:tcW w:type="dxa" w:w="1514"/>
          </w:tcPr>
          <w:p>
            <w:pPr>
              <w:spacing w:before="20" w:after="20"/>
            </w:pPr>
            <w:r/>
            <w:r>
              <w:rPr>
                <w:rFonts w:ascii="Verdana" w:hAnsi="Verdana"/>
                <w:b w:val="0"/>
                <w:sz w:val="16"/>
              </w:rPr>
              <w:t>0 01 031</w:t>
            </w:r>
          </w:p>
        </w:tc>
        <w:tc>
          <w:tcPr>
            <w:tcW w:type="dxa" w:w="1514"/>
          </w:tcPr>
          <w:p>
            <w:pPr>
              <w:spacing w:before="20" w:after="20"/>
            </w:pPr>
            <w:r/>
            <w:r>
              <w:rPr>
                <w:rFonts w:ascii="Verdana" w:hAnsi="Verdana"/>
                <w:b w:val="0"/>
                <w:sz w:val="16"/>
              </w:rPr>
              <w:t>Identification of originating/generating centre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1514"/>
          </w:tcPr>
          <w:p>
            <w:pPr>
              <w:spacing w:before="20" w:after="20"/>
            </w:pPr>
            <w:r/>
            <w:r>
              <w:rPr>
                <w:rFonts w:ascii="Verdana" w:hAnsi="Verdana"/>
                <w:b w:val="0"/>
                <w:sz w:val="16"/>
              </w:rPr>
              <w:t>0 01 032</w:t>
            </w:r>
          </w:p>
        </w:tc>
        <w:tc>
          <w:tcPr>
            <w:tcW w:type="dxa" w:w="1514"/>
          </w:tcPr>
          <w:p>
            <w:pPr>
              <w:spacing w:before="20" w:after="20"/>
            </w:pPr>
            <w:r/>
            <w:r>
              <w:rPr>
                <w:rFonts w:ascii="Verdana" w:hAnsi="Verdana"/>
                <w:b w:val="0"/>
                <w:sz w:val="16"/>
              </w:rPr>
              <w:t>Generating application</w:t>
            </w:r>
          </w:p>
        </w:tc>
        <w:tc>
          <w:tcPr>
            <w:tcW w:type="dxa" w:w="1514"/>
          </w:tcPr>
          <w:p>
            <w:pPr>
              <w:spacing w:before="20" w:after="20"/>
            </w:pPr>
            <w:r/>
            <w:r>
              <w:rPr>
                <w:rFonts w:ascii="Verdana" w:hAnsi="Verdana"/>
                <w:sz w:val="16"/>
              </w:rPr>
              <w:t>Code table defined by originating/generating centre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175: Where a centre other than the originating centre generates quality information, replacement or substitute values, and/or statistical information, the centre may be indicated by using 0 01 033. | Note 21: Front direction (towards which the front is moving) must always be given as it is needed for plotting purposes. A front direction with a front speed of zero would indicate a slow front. A value in the code table exists to represent a quasi-stationary front. | Note 38: n/a</w:t>
            </w:r>
          </w:p>
        </w:tc>
      </w:tr>
      <w:tr>
        <w:trPr>
          <w:cantSplit/>
        </w:trPr>
        <w:tc>
          <w:tcPr>
            <w:tcW w:type="dxa" w:w="1514"/>
          </w:tcPr>
          <w:p>
            <w:pPr>
              <w:spacing w:before="20" w:after="20"/>
            </w:pPr>
            <w:r/>
            <w:r>
              <w:rPr>
                <w:rFonts w:ascii="Verdana" w:hAnsi="Verdana"/>
                <w:b w:val="0"/>
                <w:sz w:val="16"/>
              </w:rPr>
              <w:t>0 01 033</w:t>
            </w:r>
          </w:p>
        </w:tc>
        <w:tc>
          <w:tcPr>
            <w:tcW w:type="dxa" w:w="1514"/>
          </w:tcPr>
          <w:p>
            <w:pPr>
              <w:spacing w:before="20" w:after="20"/>
            </w:pPr>
            <w:r/>
            <w:r>
              <w:rPr>
                <w:rFonts w:ascii="Verdana" w:hAnsi="Verdana"/>
                <w:b w:val="0"/>
                <w:sz w:val="16"/>
              </w:rPr>
              <w:t>Identification of originating/generating centre</w:t>
            </w:r>
          </w:p>
        </w:tc>
        <w:tc>
          <w:tcPr>
            <w:tcW w:type="dxa" w:w="1514"/>
          </w:tcPr>
          <w:p>
            <w:pPr>
              <w:spacing w:before="20" w:after="20"/>
            </w:pPr>
            <w:r/>
            <w:r>
              <w:rPr>
                <w:rFonts w:ascii="Verdana" w:hAnsi="Verdana"/>
                <w:sz w:val="16"/>
              </w:rPr>
              <w:t>Common Code table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Common Code table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0 01 034</w:t>
            </w:r>
          </w:p>
        </w:tc>
        <w:tc>
          <w:tcPr>
            <w:tcW w:type="dxa" w:w="1514"/>
          </w:tcPr>
          <w:p>
            <w:pPr>
              <w:spacing w:before="20" w:after="20"/>
            </w:pPr>
            <w:r/>
            <w:r>
              <w:rPr>
                <w:rFonts w:ascii="Verdana" w:hAnsi="Verdana"/>
                <w:b w:val="0"/>
                <w:sz w:val="16"/>
              </w:rPr>
              <w:t>Identification of originating/generating sub-centre</w:t>
            </w:r>
          </w:p>
        </w:tc>
        <w:tc>
          <w:tcPr>
            <w:tcW w:type="dxa" w:w="1514"/>
          </w:tcPr>
          <w:p>
            <w:pPr>
              <w:spacing w:before="20" w:after="20"/>
            </w:pPr>
            <w:r/>
            <w:r>
              <w:rPr>
                <w:rFonts w:ascii="Verdana" w:hAnsi="Verdana"/>
                <w:sz w:val="16"/>
              </w:rPr>
              <w:t>Common Code table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Common Code table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0 01 035</w:t>
            </w:r>
          </w:p>
        </w:tc>
        <w:tc>
          <w:tcPr>
            <w:tcW w:type="dxa" w:w="1514"/>
          </w:tcPr>
          <w:p>
            <w:pPr>
              <w:spacing w:before="20" w:after="20"/>
            </w:pPr>
            <w:r/>
            <w:r>
              <w:rPr>
                <w:rFonts w:ascii="Verdana" w:hAnsi="Verdana"/>
                <w:b w:val="0"/>
                <w:sz w:val="16"/>
              </w:rPr>
              <w:t>Originating centre</w:t>
            </w:r>
          </w:p>
        </w:tc>
        <w:tc>
          <w:tcPr>
            <w:tcW w:type="dxa" w:w="1514"/>
          </w:tcPr>
          <w:p>
            <w:pPr>
              <w:spacing w:before="20" w:after="20"/>
            </w:pPr>
            <w:r/>
            <w:r>
              <w:rPr>
                <w:rFonts w:ascii="Verdana" w:hAnsi="Verdana"/>
                <w:sz w:val="16"/>
              </w:rPr>
              <w:t>Common Code table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Common Code table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0 01 036</w:t>
            </w:r>
          </w:p>
        </w:tc>
        <w:tc>
          <w:tcPr>
            <w:tcW w:type="dxa" w:w="1514"/>
          </w:tcPr>
          <w:p>
            <w:pPr>
              <w:spacing w:before="20" w:after="20"/>
            </w:pPr>
            <w:r/>
            <w:r>
              <w:rPr>
                <w:rFonts w:ascii="Verdana" w:hAnsi="Verdana"/>
                <w:b w:val="0"/>
                <w:sz w:val="16"/>
              </w:rPr>
              <w:t>Agency in charge of operating the observing platform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0 01 037</w:t>
            </w:r>
          </w:p>
        </w:tc>
        <w:tc>
          <w:tcPr>
            <w:tcW w:type="dxa" w:w="1514"/>
          </w:tcPr>
          <w:p>
            <w:pPr>
              <w:spacing w:before="20" w:after="20"/>
            </w:pPr>
            <w:r/>
            <w:r>
              <w:rPr>
                <w:rFonts w:ascii="Verdana" w:hAnsi="Verdana"/>
                <w:b w:val="0"/>
                <w:sz w:val="16"/>
              </w:rPr>
              <w:t>SIGMET sequence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0 01 038</w:t>
            </w:r>
          </w:p>
        </w:tc>
        <w:tc>
          <w:tcPr>
            <w:tcW w:type="dxa" w:w="1514"/>
          </w:tcPr>
          <w:p>
            <w:pPr>
              <w:spacing w:before="20" w:after="20"/>
            </w:pPr>
            <w:r/>
            <w:r>
              <w:rPr>
                <w:rFonts w:ascii="Verdana" w:hAnsi="Verdana"/>
                <w:b w:val="0"/>
                <w:sz w:val="16"/>
              </w:rPr>
              <w:t>Source of sea ice fraction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0 01 039</w:t>
            </w:r>
          </w:p>
        </w:tc>
        <w:tc>
          <w:tcPr>
            <w:tcW w:type="dxa" w:w="1514"/>
          </w:tcPr>
          <w:p>
            <w:pPr>
              <w:spacing w:before="20" w:after="20"/>
            </w:pPr>
            <w:r/>
            <w:r>
              <w:rPr>
                <w:rFonts w:ascii="Verdana" w:hAnsi="Verdana"/>
                <w:b w:val="0"/>
                <w:sz w:val="16"/>
              </w:rPr>
              <w:t>Graphical Area Forecast (GFA) sequence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0 01 040</w:t>
            </w:r>
          </w:p>
        </w:tc>
        <w:tc>
          <w:tcPr>
            <w:tcW w:type="dxa" w:w="1514"/>
          </w:tcPr>
          <w:p>
            <w:pPr>
              <w:spacing w:before="20" w:after="20"/>
            </w:pPr>
            <w:r/>
            <w:r>
              <w:rPr>
                <w:rFonts w:ascii="Verdana" w:hAnsi="Verdana"/>
                <w:b w:val="0"/>
                <w:sz w:val="16"/>
              </w:rPr>
              <w:t>Processing centre ID code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0 01 041</w:t>
            </w:r>
          </w:p>
        </w:tc>
        <w:tc>
          <w:tcPr>
            <w:tcW w:type="dxa" w:w="1514"/>
          </w:tcPr>
          <w:p>
            <w:pPr>
              <w:spacing w:before="20" w:after="20"/>
            </w:pPr>
            <w:r/>
            <w:r>
              <w:rPr>
                <w:rFonts w:ascii="Verdana" w:hAnsi="Verdana"/>
                <w:b w:val="0"/>
                <w:sz w:val="16"/>
              </w:rPr>
              <w:t>Absolute platform velocity - first component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Left handed x, y and z axes have been chosen for descriptors 0 01 041, 0 01 042 and 0 01 043.</w:t>
            </w:r>
          </w:p>
        </w:tc>
      </w:tr>
      <w:tr>
        <w:trPr>
          <w:cantSplit/>
        </w:trPr>
        <w:tc>
          <w:tcPr>
            <w:tcW w:type="dxa" w:w="1514"/>
          </w:tcPr>
          <w:p>
            <w:pPr>
              <w:spacing w:before="20" w:after="20"/>
            </w:pPr>
            <w:r/>
            <w:r>
              <w:rPr>
                <w:rFonts w:ascii="Verdana" w:hAnsi="Verdana"/>
                <w:b w:val="0"/>
                <w:sz w:val="16"/>
              </w:rPr>
              <w:t>0 01 042</w:t>
            </w:r>
          </w:p>
        </w:tc>
        <w:tc>
          <w:tcPr>
            <w:tcW w:type="dxa" w:w="1514"/>
          </w:tcPr>
          <w:p>
            <w:pPr>
              <w:spacing w:before="20" w:after="20"/>
            </w:pPr>
            <w:r/>
            <w:r>
              <w:rPr>
                <w:rFonts w:ascii="Verdana" w:hAnsi="Verdana"/>
                <w:b w:val="0"/>
                <w:sz w:val="16"/>
              </w:rPr>
              <w:t>Absolute platform velocity - second component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Left handed x, y and z axes have been chosen for descriptors 0 01 041, 0 01 042 and 0 01 043.</w:t>
            </w:r>
          </w:p>
        </w:tc>
      </w:tr>
      <w:tr>
        <w:trPr>
          <w:cantSplit/>
        </w:trPr>
        <w:tc>
          <w:tcPr>
            <w:tcW w:type="dxa" w:w="1514"/>
          </w:tcPr>
          <w:p>
            <w:pPr>
              <w:spacing w:before="20" w:after="20"/>
            </w:pPr>
            <w:r/>
            <w:r>
              <w:rPr>
                <w:rFonts w:ascii="Verdana" w:hAnsi="Verdana"/>
                <w:b w:val="0"/>
                <w:sz w:val="16"/>
              </w:rPr>
              <w:t>0 01 043</w:t>
            </w:r>
          </w:p>
        </w:tc>
        <w:tc>
          <w:tcPr>
            <w:tcW w:type="dxa" w:w="1514"/>
          </w:tcPr>
          <w:p>
            <w:pPr>
              <w:spacing w:before="20" w:after="20"/>
            </w:pPr>
            <w:r/>
            <w:r>
              <w:rPr>
                <w:rFonts w:ascii="Verdana" w:hAnsi="Verdana"/>
                <w:b w:val="0"/>
                <w:sz w:val="16"/>
              </w:rPr>
              <w:t>Absolute platform velocity - third component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Left handed x, y and z axes have been chosen for descriptors 0 01 041, 0 01 042 and 0 01 043.</w:t>
            </w:r>
          </w:p>
        </w:tc>
      </w:tr>
      <w:tr>
        <w:trPr>
          <w:cantSplit/>
        </w:trPr>
        <w:tc>
          <w:tcPr>
            <w:tcW w:type="dxa" w:w="1514"/>
          </w:tcPr>
          <w:p>
            <w:pPr>
              <w:spacing w:before="20" w:after="20"/>
            </w:pPr>
            <w:r/>
            <w:r>
              <w:rPr>
                <w:rFonts w:ascii="Verdana" w:hAnsi="Verdana"/>
                <w:b w:val="0"/>
                <w:sz w:val="16"/>
              </w:rPr>
              <w:t>0 01 044</w:t>
            </w:r>
          </w:p>
        </w:tc>
        <w:tc>
          <w:tcPr>
            <w:tcW w:type="dxa" w:w="1514"/>
          </w:tcPr>
          <w:p>
            <w:pPr>
              <w:spacing w:before="20" w:after="20"/>
            </w:pPr>
            <w:r/>
            <w:r>
              <w:rPr>
                <w:rFonts w:ascii="Verdana" w:hAnsi="Verdana"/>
                <w:b w:val="0"/>
                <w:sz w:val="16"/>
              </w:rPr>
              <w:t>Standard generating application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0 01 050</w:t>
            </w:r>
          </w:p>
        </w:tc>
        <w:tc>
          <w:tcPr>
            <w:tcW w:type="dxa" w:w="1514"/>
          </w:tcPr>
          <w:p>
            <w:pPr>
              <w:spacing w:before="20" w:after="20"/>
            </w:pPr>
            <w:r/>
            <w:r>
              <w:rPr>
                <w:rFonts w:ascii="Verdana" w:hAnsi="Verdana"/>
                <w:b w:val="0"/>
                <w:sz w:val="16"/>
              </w:rPr>
              <w:t>Platform transmitter ID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0 01 051</w:t>
            </w:r>
          </w:p>
        </w:tc>
        <w:tc>
          <w:tcPr>
            <w:tcW w:type="dxa" w:w="1514"/>
          </w:tcPr>
          <w:p>
            <w:pPr>
              <w:spacing w:before="20" w:after="20"/>
            </w:pPr>
            <w:r/>
            <w:r>
              <w:rPr>
                <w:rFonts w:ascii="Verdana" w:hAnsi="Verdana"/>
                <w:b w:val="0"/>
                <w:sz w:val="16"/>
              </w:rPr>
              <w:t>Platform transmitter ID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0 01 052</w:t>
            </w:r>
          </w:p>
        </w:tc>
        <w:tc>
          <w:tcPr>
            <w:tcW w:type="dxa" w:w="1514"/>
          </w:tcPr>
          <w:p>
            <w:pPr>
              <w:spacing w:before="20" w:after="20"/>
            </w:pPr>
            <w:r/>
            <w:r>
              <w:rPr>
                <w:rFonts w:ascii="Verdana" w:hAnsi="Verdana"/>
                <w:b w:val="0"/>
                <w:sz w:val="16"/>
              </w:rPr>
              <w:t>Platform transmitter ID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0 01 053</w:t>
            </w:r>
          </w:p>
        </w:tc>
        <w:tc>
          <w:tcPr>
            <w:tcW w:type="dxa" w:w="1514"/>
          </w:tcPr>
          <w:p>
            <w:pPr>
              <w:spacing w:before="20" w:after="20"/>
            </w:pPr>
            <w:r/>
            <w:r>
              <w:rPr>
                <w:rFonts w:ascii="Verdana" w:hAnsi="Verdana"/>
                <w:b w:val="0"/>
                <w:sz w:val="16"/>
              </w:rPr>
              <w:t>Tsunameter report sequence number triggered by a tsunami event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0 01 060</w:t>
            </w:r>
          </w:p>
        </w:tc>
        <w:tc>
          <w:tcPr>
            <w:tcW w:type="dxa" w:w="1514"/>
          </w:tcPr>
          <w:p>
            <w:pPr>
              <w:spacing w:before="20" w:after="20"/>
            </w:pPr>
            <w:r/>
            <w:r>
              <w:rPr>
                <w:rFonts w:ascii="Verdana" w:hAnsi="Verdana"/>
                <w:b w:val="0"/>
                <w:sz w:val="16"/>
              </w:rPr>
              <w:t>Aircraft reporting point (Beacon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0 01 062</w:t>
            </w:r>
          </w:p>
        </w:tc>
        <w:tc>
          <w:tcPr>
            <w:tcW w:type="dxa" w:w="1514"/>
          </w:tcPr>
          <w:p>
            <w:pPr>
              <w:spacing w:before="20" w:after="20"/>
            </w:pPr>
            <w:r/>
            <w:r>
              <w:rPr>
                <w:rFonts w:ascii="Verdana" w:hAnsi="Verdana"/>
                <w:b w:val="0"/>
                <w:sz w:val="16"/>
              </w:rPr>
              <w:t>Short ICAO location indicator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0 01 063</w:t>
            </w:r>
          </w:p>
        </w:tc>
        <w:tc>
          <w:tcPr>
            <w:tcW w:type="dxa" w:w="1514"/>
          </w:tcPr>
          <w:p>
            <w:pPr>
              <w:spacing w:before="20" w:after="20"/>
            </w:pPr>
            <w:r/>
            <w:r>
              <w:rPr>
                <w:rFonts w:ascii="Verdana" w:hAnsi="Verdana"/>
                <w:b w:val="0"/>
                <w:sz w:val="16"/>
              </w:rPr>
              <w:t>ICAO location indicator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0 01 064</w:t>
            </w:r>
          </w:p>
        </w:tc>
        <w:tc>
          <w:tcPr>
            <w:tcW w:type="dxa" w:w="1514"/>
          </w:tcPr>
          <w:p>
            <w:pPr>
              <w:spacing w:before="20" w:after="20"/>
            </w:pPr>
            <w:r/>
            <w:r>
              <w:rPr>
                <w:rFonts w:ascii="Verdana" w:hAnsi="Verdana"/>
                <w:b w:val="0"/>
                <w:sz w:val="16"/>
              </w:rPr>
              <w:t>Runway designator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0 01 065</w:t>
            </w:r>
          </w:p>
        </w:tc>
        <w:tc>
          <w:tcPr>
            <w:tcW w:type="dxa" w:w="1514"/>
          </w:tcPr>
          <w:p>
            <w:pPr>
              <w:spacing w:before="20" w:after="20"/>
            </w:pPr>
            <w:r/>
            <w:r>
              <w:rPr>
                <w:rFonts w:ascii="Verdana" w:hAnsi="Verdana"/>
                <w:b w:val="0"/>
                <w:sz w:val="16"/>
              </w:rPr>
              <w:t>ICAO region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0 01 075</w:t>
            </w:r>
          </w:p>
        </w:tc>
        <w:tc>
          <w:tcPr>
            <w:tcW w:type="dxa" w:w="1514"/>
          </w:tcPr>
          <w:p>
            <w:pPr>
              <w:spacing w:before="20" w:after="20"/>
            </w:pPr>
            <w:r/>
            <w:r>
              <w:rPr>
                <w:rFonts w:ascii="Verdana" w:hAnsi="Verdana"/>
                <w:b w:val="0"/>
                <w:sz w:val="16"/>
              </w:rPr>
              <w:t>Tide station 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0 01 079</w:t>
            </w:r>
          </w:p>
        </w:tc>
        <w:tc>
          <w:tcPr>
            <w:tcW w:type="dxa" w:w="1514"/>
          </w:tcPr>
          <w:p>
            <w:pPr>
              <w:spacing w:before="20" w:after="20"/>
            </w:pPr>
            <w:r/>
            <w:r>
              <w:rPr>
                <w:rFonts w:ascii="Verdana" w:hAnsi="Verdana"/>
                <w:b w:val="0"/>
                <w:sz w:val="16"/>
              </w:rPr>
              <w:t>Unique identifier for the profile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0 01 080</w:t>
            </w:r>
          </w:p>
        </w:tc>
        <w:tc>
          <w:tcPr>
            <w:tcW w:type="dxa" w:w="1514"/>
          </w:tcPr>
          <w:p>
            <w:pPr>
              <w:spacing w:before="20" w:after="20"/>
            </w:pPr>
            <w:r/>
            <w:r>
              <w:rPr>
                <w:rFonts w:ascii="Verdana" w:hAnsi="Verdana"/>
                <w:b w:val="0"/>
                <w:sz w:val="16"/>
              </w:rPr>
              <w:t>Ship line number according to SOOP</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0 01 081</w:t>
            </w:r>
          </w:p>
        </w:tc>
        <w:tc>
          <w:tcPr>
            <w:tcW w:type="dxa" w:w="1514"/>
          </w:tcPr>
          <w:p>
            <w:pPr>
              <w:spacing w:before="20" w:after="20"/>
            </w:pPr>
            <w:r/>
            <w:r>
              <w:rPr>
                <w:rFonts w:ascii="Verdana" w:hAnsi="Verdana"/>
                <w:b w:val="0"/>
                <w:sz w:val="16"/>
              </w:rPr>
              <w:t>Radiosonde serial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0 01 082</w:t>
            </w:r>
          </w:p>
        </w:tc>
        <w:tc>
          <w:tcPr>
            <w:tcW w:type="dxa" w:w="1514"/>
          </w:tcPr>
          <w:p>
            <w:pPr>
              <w:spacing w:before="20" w:after="20"/>
            </w:pPr>
            <w:r/>
            <w:r>
              <w:rPr>
                <w:rFonts w:ascii="Verdana" w:hAnsi="Verdana"/>
                <w:b w:val="0"/>
                <w:sz w:val="16"/>
              </w:rPr>
              <w:t>Radiosonde ascension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45: Some types of stations do not have the ability to identify the surface condition accurately. They can only report conditions such as "not dry" or "glazed". The code table for road surface conditions has been adjusted accordingly.</w:t>
            </w:r>
          </w:p>
        </w:tc>
      </w:tr>
      <w:tr>
        <w:trPr>
          <w:cantSplit/>
        </w:trPr>
        <w:tc>
          <w:tcPr>
            <w:tcW w:type="dxa" w:w="1514"/>
          </w:tcPr>
          <w:p>
            <w:pPr>
              <w:spacing w:before="20" w:after="20"/>
            </w:pPr>
            <w:r/>
            <w:r>
              <w:rPr>
                <w:rFonts w:ascii="Verdana" w:hAnsi="Verdana"/>
                <w:b w:val="0"/>
                <w:sz w:val="16"/>
              </w:rPr>
              <w:t>0 01 083</w:t>
            </w:r>
          </w:p>
        </w:tc>
        <w:tc>
          <w:tcPr>
            <w:tcW w:type="dxa" w:w="1514"/>
          </w:tcPr>
          <w:p>
            <w:pPr>
              <w:spacing w:before="20" w:after="20"/>
            </w:pPr>
            <w:r/>
            <w:r>
              <w:rPr>
                <w:rFonts w:ascii="Verdana" w:hAnsi="Verdana"/>
                <w:b w:val="0"/>
                <w:sz w:val="16"/>
              </w:rPr>
              <w:t>Radiosonde release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45: Some types of stations do not have the ability to identify the surface condition accurately. They can only report conditions such as "not dry" or "glazed". The code table for road surface conditions has been adjusted accordingly.</w:t>
            </w:r>
          </w:p>
        </w:tc>
      </w:tr>
      <w:tr>
        <w:trPr>
          <w:cantSplit/>
        </w:trPr>
        <w:tc>
          <w:tcPr>
            <w:tcW w:type="dxa" w:w="1514"/>
          </w:tcPr>
          <w:p>
            <w:pPr>
              <w:spacing w:before="20" w:after="20"/>
            </w:pPr>
            <w:r/>
            <w:r>
              <w:rPr>
                <w:rFonts w:ascii="Verdana" w:hAnsi="Verdana"/>
                <w:b w:val="0"/>
                <w:sz w:val="16"/>
              </w:rPr>
              <w:t>0 01 085</w:t>
            </w:r>
          </w:p>
        </w:tc>
        <w:tc>
          <w:tcPr>
            <w:tcW w:type="dxa" w:w="1514"/>
          </w:tcPr>
          <w:p>
            <w:pPr>
              <w:spacing w:before="20" w:after="20"/>
            </w:pPr>
            <w:r/>
            <w:r>
              <w:rPr>
                <w:rFonts w:ascii="Verdana" w:hAnsi="Verdana"/>
                <w:b w:val="0"/>
                <w:sz w:val="16"/>
              </w:rPr>
              <w:t>Observing platform manufacturer's model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0 01 086</w:t>
            </w:r>
          </w:p>
        </w:tc>
        <w:tc>
          <w:tcPr>
            <w:tcW w:type="dxa" w:w="1514"/>
          </w:tcPr>
          <w:p>
            <w:pPr>
              <w:spacing w:before="20" w:after="20"/>
            </w:pPr>
            <w:r/>
            <w:r>
              <w:rPr>
                <w:rFonts w:ascii="Verdana" w:hAnsi="Verdana"/>
                <w:b w:val="0"/>
                <w:sz w:val="16"/>
              </w:rPr>
              <w:t>Observing platform manufacturer's serial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0 01 087</w:t>
            </w:r>
          </w:p>
        </w:tc>
        <w:tc>
          <w:tcPr>
            <w:tcW w:type="dxa" w:w="1514"/>
          </w:tcPr>
          <w:p>
            <w:pPr>
              <w:spacing w:before="20" w:after="20"/>
            </w:pPr>
            <w:r/>
            <w:r>
              <w:rPr>
                <w:rFonts w:ascii="Verdana" w:hAnsi="Verdana"/>
                <w:b w:val="0"/>
                <w:sz w:val="16"/>
              </w:rPr>
              <w:t>WMO marine observing platform extended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0 01 090</w:t>
            </w:r>
          </w:p>
        </w:tc>
        <w:tc>
          <w:tcPr>
            <w:tcW w:type="dxa" w:w="1514"/>
          </w:tcPr>
          <w:p>
            <w:pPr>
              <w:spacing w:before="20" w:after="20"/>
            </w:pPr>
            <w:r/>
            <w:r>
              <w:rPr>
                <w:rFonts w:ascii="Verdana" w:hAnsi="Verdana"/>
                <w:b w:val="0"/>
                <w:sz w:val="16"/>
              </w:rPr>
              <w:t>Technique for making up initial perturbations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0 01 091</w:t>
            </w:r>
          </w:p>
        </w:tc>
        <w:tc>
          <w:tcPr>
            <w:tcW w:type="dxa" w:w="1514"/>
          </w:tcPr>
          <w:p>
            <w:pPr>
              <w:spacing w:before="20" w:after="20"/>
            </w:pPr>
            <w:r/>
            <w:r>
              <w:rPr>
                <w:rFonts w:ascii="Verdana" w:hAnsi="Verdana"/>
                <w:b w:val="0"/>
                <w:sz w:val="16"/>
              </w:rPr>
              <w:t>Ensemble member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0 01 092</w:t>
            </w:r>
          </w:p>
        </w:tc>
        <w:tc>
          <w:tcPr>
            <w:tcW w:type="dxa" w:w="1514"/>
          </w:tcPr>
          <w:p>
            <w:pPr>
              <w:spacing w:before="20" w:after="20"/>
            </w:pPr>
            <w:r/>
            <w:r>
              <w:rPr>
                <w:rFonts w:ascii="Verdana" w:hAnsi="Verdana"/>
                <w:b w:val="0"/>
                <w:sz w:val="16"/>
              </w:rPr>
              <w:t>Type of ensemble forecast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0 01 093</w:t>
            </w:r>
          </w:p>
        </w:tc>
        <w:tc>
          <w:tcPr>
            <w:tcW w:type="dxa" w:w="1514"/>
          </w:tcPr>
          <w:p>
            <w:pPr>
              <w:spacing w:before="20" w:after="20"/>
            </w:pPr>
            <w:r/>
            <w:r>
              <w:rPr>
                <w:rFonts w:ascii="Verdana" w:hAnsi="Verdana"/>
                <w:b w:val="0"/>
                <w:sz w:val="16"/>
              </w:rPr>
              <w:t>Balloon lot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0 01 094</w:t>
            </w:r>
          </w:p>
        </w:tc>
        <w:tc>
          <w:tcPr>
            <w:tcW w:type="dxa" w:w="1514"/>
          </w:tcPr>
          <w:p>
            <w:pPr>
              <w:spacing w:before="20" w:after="20"/>
            </w:pPr>
            <w:r/>
            <w:r>
              <w:rPr>
                <w:rFonts w:ascii="Verdana" w:hAnsi="Verdana"/>
                <w:b w:val="0"/>
                <w:sz w:val="16"/>
              </w:rPr>
              <w:t>WBAN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0 01 095</w:t>
            </w:r>
          </w:p>
        </w:tc>
        <w:tc>
          <w:tcPr>
            <w:tcW w:type="dxa" w:w="1514"/>
          </w:tcPr>
          <w:p>
            <w:pPr>
              <w:spacing w:before="20" w:after="20"/>
            </w:pPr>
            <w:r/>
            <w:r>
              <w:rPr>
                <w:rFonts w:ascii="Verdana" w:hAnsi="Verdana"/>
                <w:b w:val="0"/>
                <w:sz w:val="16"/>
              </w:rPr>
              <w:t>Observer 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0 01 096</w:t>
            </w:r>
          </w:p>
        </w:tc>
        <w:tc>
          <w:tcPr>
            <w:tcW w:type="dxa" w:w="1514"/>
          </w:tcPr>
          <w:p>
            <w:pPr>
              <w:spacing w:before="20" w:after="20"/>
            </w:pPr>
            <w:r/>
            <w:r>
              <w:rPr>
                <w:rFonts w:ascii="Verdana" w:hAnsi="Verdana"/>
                <w:b w:val="0"/>
                <w:sz w:val="16"/>
              </w:rPr>
              <w:t>Station acquisition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0 01 099</w:t>
            </w:r>
          </w:p>
        </w:tc>
        <w:tc>
          <w:tcPr>
            <w:tcW w:type="dxa" w:w="1514"/>
          </w:tcPr>
          <w:p>
            <w:pPr>
              <w:spacing w:before="20" w:after="20"/>
            </w:pPr>
            <w:r/>
            <w:r>
              <w:rPr>
                <w:rFonts w:ascii="Verdana" w:hAnsi="Verdana"/>
                <w:b w:val="0"/>
                <w:sz w:val="16"/>
              </w:rPr>
              <w:t>Unique product definition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0 01 101</w:t>
            </w:r>
          </w:p>
        </w:tc>
        <w:tc>
          <w:tcPr>
            <w:tcW w:type="dxa" w:w="1514"/>
          </w:tcPr>
          <w:p>
            <w:pPr>
              <w:spacing w:before="20" w:after="20"/>
            </w:pPr>
            <w:r/>
            <w:r>
              <w:rPr>
                <w:rFonts w:ascii="Verdana" w:hAnsi="Verdana"/>
                <w:b w:val="0"/>
                <w:sz w:val="16"/>
              </w:rPr>
              <w:t>State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0 01 102</w:t>
            </w:r>
          </w:p>
        </w:tc>
        <w:tc>
          <w:tcPr>
            <w:tcW w:type="dxa" w:w="1514"/>
          </w:tcPr>
          <w:p>
            <w:pPr>
              <w:spacing w:before="20" w:after="20"/>
            </w:pPr>
            <w:r/>
            <w:r>
              <w:rPr>
                <w:rFonts w:ascii="Verdana" w:hAnsi="Verdana"/>
                <w:b w:val="0"/>
                <w:sz w:val="16"/>
              </w:rPr>
              <w:t>National station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0 01 103</w:t>
            </w:r>
          </w:p>
        </w:tc>
        <w:tc>
          <w:tcPr>
            <w:tcW w:type="dxa" w:w="1514"/>
          </w:tcPr>
          <w:p>
            <w:pPr>
              <w:spacing w:before="20" w:after="20"/>
            </w:pPr>
            <w:r/>
            <w:r>
              <w:rPr>
                <w:rFonts w:ascii="Verdana" w:hAnsi="Verdana"/>
                <w:b w:val="0"/>
                <w:sz w:val="16"/>
              </w:rPr>
              <w:t>IMO Number. Unique Lloyd's register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0 01 104</w:t>
            </w:r>
          </w:p>
        </w:tc>
        <w:tc>
          <w:tcPr>
            <w:tcW w:type="dxa" w:w="1514"/>
          </w:tcPr>
          <w:p>
            <w:pPr>
              <w:spacing w:before="20" w:after="20"/>
            </w:pPr>
            <w:r/>
            <w:r>
              <w:rPr>
                <w:rFonts w:ascii="Verdana" w:hAnsi="Verdana"/>
                <w:b w:val="0"/>
                <w:sz w:val="16"/>
              </w:rPr>
              <w:t>State/federal state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0 01 105</w:t>
            </w:r>
          </w:p>
        </w:tc>
        <w:tc>
          <w:tcPr>
            <w:tcW w:type="dxa" w:w="1514"/>
          </w:tcPr>
          <w:p>
            <w:pPr>
              <w:spacing w:before="20" w:after="20"/>
            </w:pPr>
            <w:r/>
            <w:r>
              <w:rPr>
                <w:rFonts w:ascii="Verdana" w:hAnsi="Verdana"/>
                <w:b w:val="0"/>
                <w:sz w:val="16"/>
              </w:rPr>
              <w:t>Highway designator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0 01 106</w:t>
            </w:r>
          </w:p>
        </w:tc>
        <w:tc>
          <w:tcPr>
            <w:tcW w:type="dxa" w:w="1514"/>
          </w:tcPr>
          <w:p>
            <w:pPr>
              <w:spacing w:before="20" w:after="20"/>
            </w:pPr>
            <w:r/>
            <w:r>
              <w:rPr>
                <w:rFonts w:ascii="Verdana" w:hAnsi="Verdana"/>
                <w:b w:val="0"/>
                <w:sz w:val="16"/>
              </w:rPr>
              <w:t>Location along highway as indicated by position markers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0 01 110</w:t>
            </w:r>
          </w:p>
        </w:tc>
        <w:tc>
          <w:tcPr>
            <w:tcW w:type="dxa" w:w="1514"/>
          </w:tcPr>
          <w:p>
            <w:pPr>
              <w:spacing w:before="20" w:after="20"/>
            </w:pPr>
            <w:r/>
            <w:r>
              <w:rPr>
                <w:rFonts w:ascii="Verdana" w:hAnsi="Verdana"/>
                <w:b w:val="0"/>
                <w:sz w:val="16"/>
              </w:rPr>
              <w:t>Aircraft tail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0 01 111</w:t>
            </w:r>
          </w:p>
        </w:tc>
        <w:tc>
          <w:tcPr>
            <w:tcW w:type="dxa" w:w="1514"/>
          </w:tcPr>
          <w:p>
            <w:pPr>
              <w:spacing w:before="20" w:after="20"/>
            </w:pPr>
            <w:r/>
            <w:r>
              <w:rPr>
                <w:rFonts w:ascii="Verdana" w:hAnsi="Verdana"/>
                <w:b w:val="0"/>
                <w:sz w:val="16"/>
              </w:rPr>
              <w:t>Origination airport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0 01 112</w:t>
            </w:r>
          </w:p>
        </w:tc>
        <w:tc>
          <w:tcPr>
            <w:tcW w:type="dxa" w:w="1514"/>
          </w:tcPr>
          <w:p>
            <w:pPr>
              <w:spacing w:before="20" w:after="20"/>
            </w:pPr>
            <w:r/>
            <w:r>
              <w:rPr>
                <w:rFonts w:ascii="Verdana" w:hAnsi="Verdana"/>
                <w:b w:val="0"/>
                <w:sz w:val="16"/>
              </w:rPr>
              <w:t>Destination airport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0 01 113</w:t>
            </w:r>
          </w:p>
        </w:tc>
        <w:tc>
          <w:tcPr>
            <w:tcW w:type="dxa" w:w="1514"/>
          </w:tcPr>
          <w:p>
            <w:pPr>
              <w:spacing w:before="20" w:after="20"/>
            </w:pPr>
            <w:r/>
            <w:r>
              <w:rPr>
                <w:rFonts w:ascii="Verdana" w:hAnsi="Verdana"/>
                <w:b w:val="0"/>
                <w:sz w:val="16"/>
              </w:rPr>
              <w:t>Template version number defined by originating centre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0 01 114</w:t>
            </w:r>
          </w:p>
        </w:tc>
        <w:tc>
          <w:tcPr>
            <w:tcW w:type="dxa" w:w="1514"/>
          </w:tcPr>
          <w:p>
            <w:pPr>
              <w:spacing w:before="20" w:after="20"/>
            </w:pPr>
            <w:r/>
            <w:r>
              <w:rPr>
                <w:rFonts w:ascii="Verdana" w:hAnsi="Verdana"/>
                <w:b w:val="0"/>
                <w:sz w:val="16"/>
              </w:rPr>
              <w:t>Encrypted ship or mobile land station identifier (base64 encoding)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352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0 01 115</w:t>
            </w:r>
          </w:p>
        </w:tc>
        <w:tc>
          <w:tcPr>
            <w:tcW w:type="dxa" w:w="1514"/>
          </w:tcPr>
          <w:p>
            <w:pPr>
              <w:spacing w:before="20" w:after="20"/>
            </w:pPr>
            <w:r/>
            <w:r>
              <w:rPr>
                <w:rFonts w:ascii="Verdana" w:hAnsi="Verdana"/>
                <w:b w:val="0"/>
                <w:sz w:val="16"/>
              </w:rPr>
              <w:t>Identifier of the cruise or mission under which the data were collected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0 01 124</w:t>
            </w:r>
          </w:p>
        </w:tc>
        <w:tc>
          <w:tcPr>
            <w:tcW w:type="dxa" w:w="1514"/>
          </w:tcPr>
          <w:p>
            <w:pPr>
              <w:spacing w:before="20" w:after="20"/>
            </w:pPr>
            <w:r/>
            <w:r>
              <w:rPr>
                <w:rFonts w:ascii="Verdana" w:hAnsi="Verdana"/>
                <w:b w:val="0"/>
                <w:sz w:val="16"/>
              </w:rPr>
              <w:t>Grid point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0 01 125</w:t>
            </w:r>
          </w:p>
        </w:tc>
        <w:tc>
          <w:tcPr>
            <w:tcW w:type="dxa" w:w="1514"/>
          </w:tcPr>
          <w:p>
            <w:pPr>
              <w:spacing w:before="20" w:after="20"/>
            </w:pPr>
            <w:r/>
            <w:r>
              <w:rPr>
                <w:rFonts w:ascii="Verdana" w:hAnsi="Verdana"/>
                <w:b w:val="0"/>
                <w:sz w:val="16"/>
              </w:rPr>
              <w:t>WIGOS identifier series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0 01 126</w:t>
            </w:r>
          </w:p>
        </w:tc>
        <w:tc>
          <w:tcPr>
            <w:tcW w:type="dxa" w:w="1514"/>
          </w:tcPr>
          <w:p>
            <w:pPr>
              <w:spacing w:before="20" w:after="20"/>
            </w:pPr>
            <w:r/>
            <w:r>
              <w:rPr>
                <w:rFonts w:ascii="Verdana" w:hAnsi="Verdana"/>
                <w:b w:val="0"/>
                <w:sz w:val="16"/>
              </w:rPr>
              <w:t>WIGOS issuer of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0 01 127</w:t>
            </w:r>
          </w:p>
        </w:tc>
        <w:tc>
          <w:tcPr>
            <w:tcW w:type="dxa" w:w="1514"/>
          </w:tcPr>
          <w:p>
            <w:pPr>
              <w:spacing w:before="20" w:after="20"/>
            </w:pPr>
            <w:r/>
            <w:r>
              <w:rPr>
                <w:rFonts w:ascii="Verdana" w:hAnsi="Verdana"/>
                <w:b w:val="0"/>
                <w:sz w:val="16"/>
              </w:rPr>
              <w:t>WIGOS issue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0 01 128</w:t>
            </w:r>
          </w:p>
        </w:tc>
        <w:tc>
          <w:tcPr>
            <w:tcW w:type="dxa" w:w="1514"/>
          </w:tcPr>
          <w:p>
            <w:pPr>
              <w:spacing w:before="20" w:after="20"/>
            </w:pPr>
            <w:r/>
            <w:r>
              <w:rPr>
                <w:rFonts w:ascii="Verdana" w:hAnsi="Verdana"/>
                <w:b w:val="0"/>
                <w:sz w:val="16"/>
              </w:rPr>
              <w:t>WIGOS local identifier (character)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0 01 130</w:t>
            </w:r>
          </w:p>
        </w:tc>
        <w:tc>
          <w:tcPr>
            <w:tcW w:type="dxa" w:w="1514"/>
          </w:tcPr>
          <w:p>
            <w:pPr>
              <w:spacing w:before="20" w:after="20"/>
            </w:pPr>
            <w:r/>
            <w:r>
              <w:rPr>
                <w:rFonts w:ascii="Verdana" w:hAnsi="Verdana"/>
                <w:b w:val="0"/>
                <w:sz w:val="16"/>
              </w:rPr>
              <w:t>Storm identifier (long)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0 01 144</w:t>
            </w:r>
          </w:p>
        </w:tc>
        <w:tc>
          <w:tcPr>
            <w:tcW w:type="dxa" w:w="1514"/>
          </w:tcPr>
          <w:p>
            <w:pPr>
              <w:spacing w:before="20" w:after="20"/>
            </w:pPr>
            <w:r/>
            <w:r>
              <w:rPr>
                <w:rFonts w:ascii="Verdana" w:hAnsi="Verdana"/>
                <w:b w:val="0"/>
                <w:sz w:val="16"/>
              </w:rPr>
              <w:t>Snapshot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0 01 145</w:t>
            </w:r>
          </w:p>
        </w:tc>
        <w:tc>
          <w:tcPr>
            <w:tcW w:type="dxa" w:w="1514"/>
          </w:tcPr>
          <w:p>
            <w:pPr>
              <w:spacing w:before="20" w:after="20"/>
            </w:pPr>
            <w:r/>
            <w:r>
              <w:rPr>
                <w:rFonts w:ascii="Verdana" w:hAnsi="Verdana"/>
                <w:b w:val="0"/>
                <w:sz w:val="16"/>
              </w:rPr>
              <w:t>Light source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185: Positive value of descriptor 0 01 145 corresponds to Hipparcos identifier; 0 is Sun, -2 is Venus, -4 is Mars, -5 is Jupiter, -6 is Saturn, -7 is Earth's moon, and -8 is Bright limb.</w:t>
            </w:r>
          </w:p>
        </w:tc>
      </w:tr>
      <w:tr>
        <w:trPr>
          <w:cantSplit/>
        </w:trPr>
        <w:tc>
          <w:tcPr>
            <w:tcW w:type="dxa" w:w="1514"/>
          </w:tcPr>
          <w:p>
            <w:pPr>
              <w:spacing w:before="20" w:after="20"/>
            </w:pPr>
            <w:r/>
            <w:r>
              <w:rPr>
                <w:rFonts w:ascii="Verdana" w:hAnsi="Verdana"/>
                <w:b w:val="0"/>
                <w:sz w:val="16"/>
              </w:rPr>
              <w:t>0 01 150</w:t>
            </w:r>
          </w:p>
        </w:tc>
        <w:tc>
          <w:tcPr>
            <w:tcW w:type="dxa" w:w="1514"/>
          </w:tcPr>
          <w:p>
            <w:pPr>
              <w:spacing w:before="20" w:after="20"/>
            </w:pPr>
            <w:r/>
            <w:r>
              <w:rPr>
                <w:rFonts w:ascii="Verdana" w:hAnsi="Verdana"/>
                <w:b w:val="0"/>
                <w:sz w:val="16"/>
              </w:rPr>
              <w:t>Coordinate reference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0 01 151</w:t>
            </w:r>
          </w:p>
        </w:tc>
        <w:tc>
          <w:tcPr>
            <w:tcW w:type="dxa" w:w="1514"/>
          </w:tcPr>
          <w:p>
            <w:pPr>
              <w:spacing w:before="20" w:after="20"/>
            </w:pPr>
            <w:r/>
            <w:r>
              <w:rPr>
                <w:rFonts w:ascii="Verdana" w:hAnsi="Verdana"/>
                <w:b w:val="0"/>
                <w:sz w:val="16"/>
              </w:rPr>
              <w:t>Fixed mean sea-level reference datum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0 01 152</w:t>
            </w:r>
          </w:p>
        </w:tc>
        <w:tc>
          <w:tcPr>
            <w:tcW w:type="dxa" w:w="1514"/>
          </w:tcPr>
          <w:p>
            <w:pPr>
              <w:spacing w:before="20" w:after="20"/>
            </w:pPr>
            <w:r/>
            <w:r>
              <w:rPr>
                <w:rFonts w:ascii="Verdana" w:hAnsi="Verdana"/>
                <w:b w:val="0"/>
                <w:sz w:val="16"/>
              </w:rPr>
              <w:t>Semi-major axis of rotation ellipsoid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0 01 153</w:t>
            </w:r>
          </w:p>
        </w:tc>
        <w:tc>
          <w:tcPr>
            <w:tcW w:type="dxa" w:w="1514"/>
          </w:tcPr>
          <w:p>
            <w:pPr>
              <w:spacing w:before="20" w:after="20"/>
            </w:pPr>
            <w:r/>
            <w:r>
              <w:rPr>
                <w:rFonts w:ascii="Verdana" w:hAnsi="Verdana"/>
                <w:b w:val="0"/>
                <w:sz w:val="16"/>
              </w:rPr>
              <w:t>Semi-minor axis of rotation ellipsoid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0 01 154</w:t>
            </w:r>
          </w:p>
        </w:tc>
        <w:tc>
          <w:tcPr>
            <w:tcW w:type="dxa" w:w="1514"/>
          </w:tcPr>
          <w:p>
            <w:pPr>
              <w:spacing w:before="20" w:after="20"/>
            </w:pPr>
            <w:r/>
            <w:r>
              <w:rPr>
                <w:rFonts w:ascii="Verdana" w:hAnsi="Verdana"/>
                <w:b w:val="0"/>
                <w:sz w:val="16"/>
              </w:rPr>
              <w:t>Sensor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0 01 155</w:t>
            </w:r>
          </w:p>
        </w:tc>
        <w:tc>
          <w:tcPr>
            <w:tcW w:type="dxa" w:w="1514"/>
          </w:tcPr>
          <w:p>
            <w:pPr>
              <w:spacing w:before="20" w:after="20"/>
            </w:pPr>
            <w:r/>
            <w:r>
              <w:rPr>
                <w:rFonts w:ascii="Verdana" w:hAnsi="Verdana"/>
                <w:b w:val="0"/>
                <w:sz w:val="16"/>
              </w:rPr>
              <w:t>Retrieval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0 01 156</w:t>
            </w:r>
          </w:p>
        </w:tc>
        <w:tc>
          <w:tcPr>
            <w:tcW w:type="dxa" w:w="1514"/>
          </w:tcPr>
          <w:p>
            <w:pPr>
              <w:spacing w:before="20" w:after="20"/>
            </w:pPr>
            <w:r/>
            <w:r>
              <w:rPr>
                <w:rFonts w:ascii="Verdana" w:hAnsi="Verdana"/>
                <w:b w:val="0"/>
                <w:sz w:val="16"/>
              </w:rPr>
              <w:t>Balloon flight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0 01 157</w:t>
            </w:r>
          </w:p>
        </w:tc>
        <w:tc>
          <w:tcPr>
            <w:tcW w:type="dxa" w:w="1514"/>
          </w:tcPr>
          <w:p>
            <w:pPr>
              <w:spacing w:before="20" w:after="20"/>
            </w:pPr>
            <w:r/>
            <w:r>
              <w:rPr>
                <w:rFonts w:ascii="Verdana" w:hAnsi="Verdana"/>
                <w:b w:val="0"/>
                <w:sz w:val="16"/>
              </w:rPr>
              <w:t>Balloon registration number or other 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0 01 158</w:t>
            </w:r>
          </w:p>
        </w:tc>
        <w:tc>
          <w:tcPr>
            <w:tcW w:type="dxa" w:w="1514"/>
          </w:tcPr>
          <w:p>
            <w:pPr>
              <w:spacing w:before="20" w:after="20"/>
            </w:pPr>
            <w:r/>
            <w:r>
              <w:rPr>
                <w:rFonts w:ascii="Verdana" w:hAnsi="Verdana"/>
                <w:b w:val="0"/>
                <w:sz w:val="16"/>
              </w:rPr>
              <w:t>Type of balloon envelope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0 01 159</w:t>
            </w:r>
          </w:p>
        </w:tc>
        <w:tc>
          <w:tcPr>
            <w:tcW w:type="dxa" w:w="1514"/>
          </w:tcPr>
          <w:p>
            <w:pPr>
              <w:spacing w:before="20" w:after="20"/>
            </w:pPr>
            <w:r/>
            <w:r>
              <w:rPr>
                <w:rFonts w:ascii="Verdana" w:hAnsi="Verdana"/>
                <w:b w:val="0"/>
                <w:sz w:val="16"/>
              </w:rPr>
              <w:t>Typical size of balloon envelope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195: In descriptor 0 01 159, report the diameter of spherical balloons and report the larger dimension (length, height) of other shapes.</w:t>
            </w:r>
          </w:p>
        </w:tc>
      </w:tr>
    </w:tbl>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