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15: Physical/chemical constituents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Total ozone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Air mass (slant path at 22 km)</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Measured ozone partial pressure (sounding)</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 3 04 035 is deprecated.</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Ozone sounding correction factor (CF)</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 3 07 082 is deprecated.</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Ozone p</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 3 10 027 is deprecated.</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of number density of atmosphere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0 15 007</w:t>
            </w:r>
          </w:p>
        </w:tc>
        <w:tc>
          <w:tcPr>
            <w:tcW w:type="dxa" w:w="1514"/>
          </w:tcPr>
          <w:p>
            <w:pPr>
              <w:spacing w:before="20" w:after="20"/>
            </w:pPr>
            <w:r/>
            <w:r>
              <w:rPr>
                <w:rFonts w:ascii="Verdana" w:hAnsi="Verdana"/>
                <w:b w:val="0"/>
                <w:sz w:val="16"/>
              </w:rPr>
              <w:t>Estimated amount of chemical constituent</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Significand of volumetric mixing ratio</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of number density of ozone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Log10 of integrated electron density</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Total electron count per square metre</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Maximum image spectral component before normalization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Integrated ozone density</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Integrated mass density</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0 15 022</w:t>
            </w:r>
          </w:p>
        </w:tc>
        <w:tc>
          <w:tcPr>
            <w:tcW w:type="dxa" w:w="1514"/>
          </w:tcPr>
          <w:p>
            <w:pPr>
              <w:spacing w:before="20" w:after="20"/>
            </w:pPr>
            <w:r/>
            <w:r>
              <w:rPr>
                <w:rFonts w:ascii="Verdana" w:hAnsi="Verdana"/>
                <w:b w:val="0"/>
                <w:sz w:val="16"/>
              </w:rPr>
              <w:t>Extended integrated mass density</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-100000000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Optical depth</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Type of pollutant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Concentration of pollutant (mol mol-1)</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Concentration of pollutant (kg m-3)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Mole fraction of atmospheric constituent/pollutant in dry air</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Extinction coefficient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Aerosol contamination index</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79: It is recommended to use 3 15 023 instead of 3 15 013.</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Atmospheric path delay in satellite signal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Estimated error in atmospheric path delay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Difference in path delays for limb views at extremes of scan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Estimated error in path delay difference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Component of zenith path delay due to water vapour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Atmospheric refractivity</w:t>
            </w:r>
          </w:p>
        </w:tc>
        <w:tc>
          <w:tcPr>
            <w:tcW w:type="dxa" w:w="1514"/>
          </w:tcPr>
          <w:p>
            <w:pPr>
              <w:spacing w:before="20" w:after="20"/>
            </w:pPr>
            <w:r/>
            <w:r>
              <w:rPr>
                <w:rFonts w:ascii="Verdana" w:hAnsi="Verdana"/>
                <w:sz w:val="16"/>
              </w:rPr>
              <w:t>N units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N units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142: The refractivity, N, is related to the refractive index, n, by the formula N = 106 (n - 1). N is therefore dimensionless but values computed by the formula are by convention described as being in "N units".</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Bending angle</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0 15 038</w:t>
            </w:r>
          </w:p>
        </w:tc>
        <w:tc>
          <w:tcPr>
            <w:tcW w:type="dxa" w:w="1514"/>
          </w:tcPr>
          <w:p>
            <w:pPr>
              <w:spacing w:before="20" w:after="20"/>
            </w:pPr>
            <w:r/>
            <w:r>
              <w:rPr>
                <w:rFonts w:ascii="Verdana" w:hAnsi="Verdana"/>
                <w:b w:val="0"/>
                <w:sz w:val="16"/>
              </w:rPr>
              <w:t>Path delay due to neutral atmosphere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4: Additional descriptors are required to reduce the workload with respect to the station database, e.g. for identification of the federal state and identification of the highway.</w:t>
            </w:r>
          </w:p>
        </w:tc>
      </w:tr>
      <w:tr>
        <w:trPr>
          <w:cantSplit/>
        </w:trPr>
        <w:tc>
          <w:tcPr>
            <w:tcW w:type="dxa" w:w="1514"/>
          </w:tcPr>
          <w:p>
            <w:pPr>
              <w:spacing w:before="20" w:after="20"/>
            </w:pPr>
            <w:r/>
            <w:r>
              <w:rPr>
                <w:rFonts w:ascii="Verdana" w:hAnsi="Verdana"/>
                <w:b w:val="0"/>
                <w:sz w:val="16"/>
              </w:rPr>
              <w:t>0 15 039</w:t>
            </w:r>
          </w:p>
        </w:tc>
        <w:tc>
          <w:tcPr>
            <w:tcW w:type="dxa" w:w="1514"/>
          </w:tcPr>
          <w:p>
            <w:pPr>
              <w:spacing w:before="20" w:after="20"/>
            </w:pPr>
            <w:r/>
            <w:r>
              <w:rPr>
                <w:rFonts w:ascii="Verdana" w:hAnsi="Verdana"/>
                <w:b w:val="0"/>
                <w:sz w:val="16"/>
              </w:rPr>
              <w:t>Estimated error in neutral atmosphere path delay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Sulphur dioxide index</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78: Within RA IV, the maximum temperature at 1200 UTC is reported for the previous calendar day (i.e. the ending time of the period is not equal to the nominal time of the report). To construct the required time range, descriptor 0 04 024 has to be included two times. If the period ends at the nominal time of the report, value of the second 0 04 024 shall be set to 0</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Reflectance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0 15 043</w:t>
            </w:r>
          </w:p>
        </w:tc>
        <w:tc>
          <w:tcPr>
            <w:tcW w:type="dxa" w:w="1514"/>
          </w:tcPr>
          <w:p>
            <w:pPr>
              <w:spacing w:before="20" w:after="20"/>
            </w:pPr>
            <w:r/>
            <w:r>
              <w:rPr>
                <w:rFonts w:ascii="Verdana" w:hAnsi="Verdana"/>
                <w:b w:val="0"/>
                <w:sz w:val="16"/>
              </w:rPr>
              <w:t>Number of averaging kernel layers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0 15 044</w:t>
            </w:r>
          </w:p>
        </w:tc>
        <w:tc>
          <w:tcPr>
            <w:tcW w:type="dxa" w:w="1514"/>
          </w:tcPr>
          <w:p>
            <w:pPr>
              <w:spacing w:before="20" w:after="20"/>
            </w:pPr>
            <w:r/>
            <w:r>
              <w:rPr>
                <w:rFonts w:ascii="Verdana" w:hAnsi="Verdana"/>
                <w:b w:val="0"/>
                <w:sz w:val="16"/>
              </w:rPr>
              <w:t>Averaging kernel value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-5000000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Sulphur dioxide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Volcano contamination index</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80: For a discussion of 'Forecast indices from ground-based microwave radiometers for operational meteorology' see: https://doi.org/10.5194/amt-8-315-2015.</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Aerosol Angstrom wavelength exponent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Meteorological optical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Log10 of number density of aerosol particles with diameter greater than 5 nm</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Log10 of number density of aerosol particles with diameter greater than 14 nm</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Log10 of number density of aerosol particles with diameter between 0.25 and 2.5 um</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Non volatile aerosol ratio</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Aerosol optical thickness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Attenuated backscatter</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Uncertainty in attenuated backscatter</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Particle backscatter coefficient</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Uncertainty in particle backscatter coefficient</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Particle extinction coefficient</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Uncertainty in particle extinction coefficient</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Particle lidar ratio</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Uncertainty in lidar ratio</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Particle depolarization ratio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Uncertainty in depolarization ratio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0 15 073</w:t>
            </w:r>
          </w:p>
        </w:tc>
        <w:tc>
          <w:tcPr>
            <w:tcW w:type="dxa" w:w="1514"/>
          </w:tcPr>
          <w:p>
            <w:pPr>
              <w:spacing w:before="20" w:after="20"/>
            </w:pPr>
            <w:r/>
            <w:r>
              <w:rPr>
                <w:rFonts w:ascii="Verdana" w:hAnsi="Verdana"/>
                <w:b w:val="0"/>
                <w:sz w:val="16"/>
              </w:rPr>
              <w:t>Attenuated backscatter</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0 15 074</w:t>
            </w:r>
          </w:p>
        </w:tc>
        <w:tc>
          <w:tcPr>
            <w:tcW w:type="dxa" w:w="1514"/>
          </w:tcPr>
          <w:p>
            <w:pPr>
              <w:spacing w:before="20" w:after="20"/>
            </w:pPr>
            <w:r/>
            <w:r>
              <w:rPr>
                <w:rFonts w:ascii="Verdana" w:hAnsi="Verdana"/>
                <w:b w:val="0"/>
                <w:sz w:val="16"/>
              </w:rPr>
              <w:t>Particle backscatter coefficient</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0 15 075</w:t>
            </w:r>
          </w:p>
        </w:tc>
        <w:tc>
          <w:tcPr>
            <w:tcW w:type="dxa" w:w="1514"/>
          </w:tcPr>
          <w:p>
            <w:pPr>
              <w:spacing w:before="20" w:after="20"/>
            </w:pPr>
            <w:r/>
            <w:r>
              <w:rPr>
                <w:rFonts w:ascii="Verdana" w:hAnsi="Verdana"/>
                <w:b w:val="0"/>
                <w:sz w:val="16"/>
              </w:rPr>
              <w:t>Particle extinction coefficient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0 15 076</w:t>
            </w:r>
          </w:p>
        </w:tc>
        <w:tc>
          <w:tcPr>
            <w:tcW w:type="dxa" w:w="1514"/>
          </w:tcPr>
          <w:p>
            <w:pPr>
              <w:spacing w:before="20" w:after="20"/>
            </w:pPr>
            <w:r/>
            <w:r>
              <w:rPr>
                <w:rFonts w:ascii="Verdana" w:hAnsi="Verdana"/>
                <w:b w:val="0"/>
                <w:sz w:val="16"/>
              </w:rPr>
              <w:t>Particle lidar ratio</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0 15 077</w:t>
            </w:r>
          </w:p>
        </w:tc>
        <w:tc>
          <w:tcPr>
            <w:tcW w:type="dxa" w:w="1514"/>
          </w:tcPr>
          <w:p>
            <w:pPr>
              <w:spacing w:before="20" w:after="20"/>
            </w:pPr>
            <w:r/>
            <w:r>
              <w:rPr>
                <w:rFonts w:ascii="Verdana" w:hAnsi="Verdana"/>
                <w:b w:val="0"/>
                <w:sz w:val="16"/>
              </w:rPr>
              <w:t>Uncertainty in lidar ratio</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0 15 078</w:t>
            </w:r>
          </w:p>
        </w:tc>
        <w:tc>
          <w:tcPr>
            <w:tcW w:type="dxa" w:w="1514"/>
          </w:tcPr>
          <w:p>
            <w:pPr>
              <w:spacing w:before="20" w:after="20"/>
            </w:pPr>
            <w:r/>
            <w:r>
              <w:rPr>
                <w:rFonts w:ascii="Verdana" w:hAnsi="Verdana"/>
                <w:b w:val="0"/>
                <w:sz w:val="16"/>
              </w:rPr>
              <w:t>Particle depolarization ratio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0 15 079</w:t>
            </w:r>
          </w:p>
        </w:tc>
        <w:tc>
          <w:tcPr>
            <w:tcW w:type="dxa" w:w="1514"/>
          </w:tcPr>
          <w:p>
            <w:pPr>
              <w:spacing w:before="20" w:after="20"/>
            </w:pPr>
            <w:r/>
            <w:r>
              <w:rPr>
                <w:rFonts w:ascii="Verdana" w:hAnsi="Verdana"/>
                <w:b w:val="0"/>
                <w:sz w:val="16"/>
              </w:rPr>
              <w:t>Zenith path delay due to neutral atmosphere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5: As supplied by originating sub-centre ARINC, this value is a pseudo-value rather than the actual value. The Relationship between this pseudo-value and the true value is known only by ARINC.</w:t>
            </w:r>
          </w:p>
        </w:tc>
      </w:tr>
      <w:tr>
        <w:trPr>
          <w:cantSplit/>
        </w:trPr>
        <w:tc>
          <w:tcPr>
            <w:tcW w:type="dxa" w:w="1514"/>
          </w:tcPr>
          <w:p>
            <w:pPr>
              <w:spacing w:before="20" w:after="20"/>
            </w:pPr>
            <w:r/>
            <w:r>
              <w:rPr>
                <w:rFonts w:ascii="Verdana" w:hAnsi="Verdana"/>
                <w:b w:val="0"/>
                <w:sz w:val="16"/>
              </w:rPr>
              <w:t>0 15 080</w:t>
            </w:r>
          </w:p>
        </w:tc>
        <w:tc>
          <w:tcPr>
            <w:tcW w:type="dxa" w:w="1514"/>
          </w:tcPr>
          <w:p>
            <w:pPr>
              <w:spacing w:before="20" w:after="20"/>
            </w:pPr>
            <w:r/>
            <w:r>
              <w:rPr>
                <w:rFonts w:ascii="Verdana" w:hAnsi="Verdana"/>
                <w:b w:val="0"/>
                <w:sz w:val="16"/>
              </w:rPr>
              <w:t>Estimated error in neutral atmosphere zenith path delay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0 15 081</w:t>
            </w:r>
          </w:p>
        </w:tc>
        <w:tc>
          <w:tcPr>
            <w:tcW w:type="dxa" w:w="1514"/>
          </w:tcPr>
          <w:p>
            <w:pPr>
              <w:spacing w:before="20" w:after="20"/>
            </w:pPr>
            <w:r/>
            <w:r>
              <w:rPr>
                <w:rFonts w:ascii="Verdana" w:hAnsi="Verdana"/>
                <w:b w:val="0"/>
                <w:sz w:val="16"/>
              </w:rPr>
              <w:t>Wet path delay due to neutral atmosphere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6: Code table values: FRQ = code figure 8 (8 oktas) OCNL EMBD = code figure 6 (6 oktas) ISOL = code figure 2 (2 oktas) when the cloud = Cb.</w:t>
            </w:r>
          </w:p>
        </w:tc>
      </w:tr>
      <w:tr>
        <w:trPr>
          <w:cantSplit/>
        </w:trPr>
        <w:tc>
          <w:tcPr>
            <w:tcW w:type="dxa" w:w="1514"/>
          </w:tcPr>
          <w:p>
            <w:pPr>
              <w:spacing w:before="20" w:after="20"/>
            </w:pPr>
            <w:r/>
            <w:r>
              <w:rPr>
                <w:rFonts w:ascii="Verdana" w:hAnsi="Verdana"/>
                <w:b w:val="0"/>
                <w:sz w:val="16"/>
              </w:rPr>
              <w:t>0 15 082</w:t>
            </w:r>
          </w:p>
        </w:tc>
        <w:tc>
          <w:tcPr>
            <w:tcW w:type="dxa" w:w="1514"/>
          </w:tcPr>
          <w:p>
            <w:pPr>
              <w:spacing w:before="20" w:after="20"/>
            </w:pPr>
            <w:r/>
            <w:r>
              <w:rPr>
                <w:rFonts w:ascii="Verdana" w:hAnsi="Verdana"/>
                <w:b w:val="0"/>
                <w:sz w:val="16"/>
              </w:rPr>
              <w:t>Path integrated water vapour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16: Each BUFR message may contain data for a number of locations; the BUFR compression technique involves negligible overheads for data items that are invariant.</w:t>
            </w:r>
          </w:p>
        </w:tc>
      </w:tr>
      <w:tr>
        <w:trPr>
          <w:cantSplit/>
        </w:trPr>
        <w:tc>
          <w:tcPr>
            <w:tcW w:type="dxa" w:w="1514"/>
          </w:tcPr>
          <w:p>
            <w:pPr>
              <w:spacing w:before="20" w:after="20"/>
            </w:pPr>
            <w:r/>
            <w:r>
              <w:rPr>
                <w:rFonts w:ascii="Verdana" w:hAnsi="Verdana"/>
                <w:b w:val="0"/>
                <w:sz w:val="16"/>
              </w:rPr>
              <w:t>0 15 083</w:t>
            </w:r>
          </w:p>
        </w:tc>
        <w:tc>
          <w:tcPr>
            <w:tcW w:type="dxa" w:w="1514"/>
          </w:tcPr>
          <w:p>
            <w:pPr>
              <w:spacing w:before="20" w:after="20"/>
            </w:pPr>
            <w:r/>
            <w:r>
              <w:rPr>
                <w:rFonts w:ascii="Verdana" w:hAnsi="Verdana"/>
                <w:b w:val="0"/>
                <w:sz w:val="16"/>
              </w:rPr>
              <w:t>GNSS derived neutral atmosphere gradient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7: Compound BUFR messages may be described within the data description section, if required (e.g. 3 01 041, 3 04 001, 3 04 002, 3 04 003, 3 04 004, 3 04 005, 3 04 006).</w:t>
            </w:r>
          </w:p>
        </w:tc>
      </w:tr>
      <w:tr>
        <w:trPr>
          <w:cantSplit/>
        </w:trPr>
        <w:tc>
          <w:tcPr>
            <w:tcW w:type="dxa" w:w="1514"/>
          </w:tcPr>
          <w:p>
            <w:pPr>
              <w:spacing w:before="20" w:after="20"/>
            </w:pPr>
            <w:r/>
            <w:r>
              <w:rPr>
                <w:rFonts w:ascii="Verdana" w:hAnsi="Verdana"/>
                <w:b w:val="0"/>
                <w:sz w:val="16"/>
              </w:rPr>
              <w:t>0 15 084</w:t>
            </w:r>
          </w:p>
        </w:tc>
        <w:tc>
          <w:tcPr>
            <w:tcW w:type="dxa" w:w="1514"/>
          </w:tcPr>
          <w:p>
            <w:pPr>
              <w:spacing w:before="20" w:after="20"/>
            </w:pPr>
            <w:r/>
            <w:r>
              <w:rPr>
                <w:rFonts w:ascii="Verdana" w:hAnsi="Verdana"/>
                <w:b w:val="0"/>
                <w:sz w:val="16"/>
              </w:rPr>
              <w:t>GNSS least squares residual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17: Each position of road sensors includes the measurements of: - Road surface temperature - Road subsurface temperatures - Water film thickness - Road surface condition</w:t>
            </w:r>
          </w:p>
        </w:tc>
      </w:tr>
      <w:tr>
        <w:trPr>
          <w:cantSplit/>
        </w:trPr>
        <w:tc>
          <w:tcPr>
            <w:tcW w:type="dxa" w:w="1514"/>
          </w:tcPr>
          <w:p>
            <w:pPr>
              <w:spacing w:before="20" w:after="20"/>
            </w:pPr>
            <w:r/>
            <w:r>
              <w:rPr>
                <w:rFonts w:ascii="Verdana" w:hAnsi="Verdana"/>
                <w:b w:val="0"/>
                <w:sz w:val="16"/>
              </w:rPr>
              <w:t>0 15 085</w:t>
            </w:r>
          </w:p>
        </w:tc>
        <w:tc>
          <w:tcPr>
            <w:tcW w:type="dxa" w:w="1514"/>
          </w:tcPr>
          <w:p>
            <w:pPr>
              <w:spacing w:before="20" w:after="20"/>
            </w:pPr>
            <w:r/>
            <w:r>
              <w:rPr>
                <w:rFonts w:ascii="Verdana" w:hAnsi="Verdana"/>
                <w:b w:val="0"/>
                <w:sz w:val="16"/>
              </w:rPr>
              <w:t>GNSS multi-path delay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8: Data represented by this sequence should be sorted in descending order with respect to pressure.</w:t>
            </w:r>
          </w:p>
        </w:tc>
      </w:tr>
      <w:tr>
        <w:trPr>
          <w:cantSplit/>
        </w:trPr>
        <w:tc>
          <w:tcPr>
            <w:tcW w:type="dxa" w:w="1514"/>
          </w:tcPr>
          <w:p>
            <w:pPr>
              <w:spacing w:before="20" w:after="20"/>
            </w:pPr>
            <w:r/>
            <w:r>
              <w:rPr>
                <w:rFonts w:ascii="Verdana" w:hAnsi="Verdana"/>
                <w:b w:val="0"/>
                <w:sz w:val="16"/>
              </w:rPr>
              <w:t>0 15 086</w:t>
            </w:r>
          </w:p>
        </w:tc>
        <w:tc>
          <w:tcPr>
            <w:tcW w:type="dxa" w:w="1514"/>
          </w:tcPr>
          <w:p>
            <w:pPr>
              <w:spacing w:before="20" w:after="20"/>
            </w:pPr>
            <w:r/>
            <w:r>
              <w:rPr>
                <w:rFonts w:ascii="Verdana" w:hAnsi="Verdana"/>
                <w:b w:val="0"/>
                <w:sz w:val="16"/>
              </w:rPr>
              <w:t>GNSS hydrostatic mapping function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Full directional spectra (Ib = 1 in WAVEOB with more than one direction per wave number band). The replication count is the number of directions per wave number band that should normally cover the full circle.</w:t>
            </w:r>
          </w:p>
        </w:tc>
      </w:tr>
      <w:tr>
        <w:trPr>
          <w:cantSplit/>
        </w:trPr>
        <w:tc>
          <w:tcPr>
            <w:tcW w:type="dxa" w:w="1514"/>
          </w:tcPr>
          <w:p>
            <w:pPr>
              <w:spacing w:before="20" w:after="20"/>
            </w:pPr>
            <w:r/>
            <w:r>
              <w:rPr>
                <w:rFonts w:ascii="Verdana" w:hAnsi="Verdana"/>
                <w:b w:val="0"/>
                <w:sz w:val="16"/>
              </w:rPr>
              <w:t>0 15 087</w:t>
            </w:r>
          </w:p>
        </w:tc>
        <w:tc>
          <w:tcPr>
            <w:tcW w:type="dxa" w:w="1514"/>
          </w:tcPr>
          <w:p>
            <w:pPr>
              <w:spacing w:before="20" w:after="20"/>
            </w:pPr>
            <w:r/>
            <w:r>
              <w:rPr>
                <w:rFonts w:ascii="Verdana" w:hAnsi="Verdana"/>
                <w:b w:val="0"/>
                <w:sz w:val="16"/>
              </w:rPr>
              <w:t>GNSS wet mapping function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Full directional spectra (Ib = 1 in WAVEOB with more than one direction per wave number band). The replication count is the number of directions per wave number band that should normally cover the full circle.</w:t>
            </w:r>
          </w:p>
        </w:tc>
      </w:tr>
      <w:tr>
        <w:trPr>
          <w:cantSplit/>
        </w:trPr>
        <w:tc>
          <w:tcPr>
            <w:tcW w:type="dxa" w:w="1514"/>
          </w:tcPr>
          <w:p>
            <w:pPr>
              <w:spacing w:before="20" w:after="20"/>
            </w:pPr>
            <w:r/>
            <w:r>
              <w:rPr>
                <w:rFonts w:ascii="Verdana" w:hAnsi="Verdana"/>
                <w:b w:val="0"/>
                <w:sz w:val="16"/>
              </w:rPr>
              <w:t>0 15 088</w:t>
            </w:r>
          </w:p>
        </w:tc>
        <w:tc>
          <w:tcPr>
            <w:tcW w:type="dxa" w:w="1514"/>
          </w:tcPr>
          <w:p>
            <w:pPr>
              <w:spacing w:before="20" w:after="20"/>
            </w:pPr>
            <w:r/>
            <w:r>
              <w:rPr>
                <w:rFonts w:ascii="Verdana" w:hAnsi="Verdana"/>
                <w:b w:val="0"/>
                <w:sz w:val="16"/>
              </w:rPr>
              <w:t>GNSS gradient mapping function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Full directional spectra (Ib = 1 in WAVEOB with more than one direction per wave number band). The replication count is the number of directions per wave number band that should normally cover the full circle.</w:t>
            </w:r>
          </w:p>
        </w:tc>
      </w:tr>
      <w:tr>
        <w:trPr>
          <w:cantSplit/>
        </w:trPr>
        <w:tc>
          <w:tcPr>
            <w:tcW w:type="dxa" w:w="1514"/>
          </w:tcPr>
          <w:p>
            <w:pPr>
              <w:spacing w:before="20" w:after="20"/>
            </w:pPr>
            <w:r/>
            <w:r>
              <w:rPr>
                <w:rFonts w:ascii="Verdana" w:hAnsi="Verdana"/>
                <w:b w:val="0"/>
                <w:sz w:val="16"/>
              </w:rPr>
              <w:t>0 15 089</w:t>
            </w:r>
          </w:p>
        </w:tc>
        <w:tc>
          <w:tcPr>
            <w:tcW w:type="dxa" w:w="1514"/>
          </w:tcPr>
          <w:p>
            <w:pPr>
              <w:spacing w:before="20" w:after="20"/>
            </w:pPr>
            <w:r/>
            <w:r>
              <w:rPr>
                <w:rFonts w:ascii="Verdana" w:hAnsi="Verdana"/>
                <w:b w:val="0"/>
                <w:sz w:val="16"/>
              </w:rPr>
              <w:t>Zenith path delay due to neutral hydrostatic atmosphere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18: No operator descriptors are reserved for local use.</w:t>
            </w:r>
          </w:p>
        </w:tc>
      </w:tr>
      <w:tr>
        <w:trPr>
          <w:cantSplit/>
        </w:trPr>
        <w:tc>
          <w:tcPr>
            <w:tcW w:type="dxa" w:w="1514"/>
          </w:tcPr>
          <w:p>
            <w:pPr>
              <w:spacing w:before="20" w:after="20"/>
            </w:pPr>
            <w:r/>
            <w:r>
              <w:rPr>
                <w:rFonts w:ascii="Verdana" w:hAnsi="Verdana"/>
                <w:b w:val="0"/>
                <w:sz w:val="16"/>
              </w:rPr>
              <w:t>0 15 090</w:t>
            </w:r>
          </w:p>
        </w:tc>
        <w:tc>
          <w:tcPr>
            <w:tcW w:type="dxa" w:w="1514"/>
          </w:tcPr>
          <w:p>
            <w:pPr>
              <w:spacing w:before="20" w:after="20"/>
            </w:pPr>
            <w:r/>
            <w:r>
              <w:rPr>
                <w:rFonts w:ascii="Verdana" w:hAnsi="Verdana"/>
                <w:b w:val="0"/>
                <w:sz w:val="16"/>
              </w:rPr>
              <w:t>Path delay due to neutral hydrostatic atmosphere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19: An event, as defined for use with operators 2 41 000 and 2 42 000, is a set of one or more circumstances described using appropriate Table B descriptors along with their corresponding data values. The grouping of such descriptors together as a single "event" allows them to be collectively assigned as the target of a separate descriptor such as 0 33 045 or 0 33 046. When defining a circumstance within an event, descriptor 0 33 042 may be employed preceding the appropriate Table B descriptor in order to indicate that the corresponding value is actually a bound for a range of values.</w:t>
            </w:r>
          </w:p>
        </w:tc>
      </w:tr>
    </w:tbl>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