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19: Synoptic features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synoptic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138: The effective radius of feature shall be defined with respect to the radius of the 1000-hPa isobars at mean sea level.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Maximum wind and effective radius of maximum wind shall be indicated by means of the 0 19 003 and 0 19 004 entries.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99: Maximum wind and effective radius of maximum wind shall be indicated by means of the 0 19 003 and 0 19 004 entries.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To construct the required time range, descriptor 0 04 024 has to be included two times.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73: To construct the required time range, descriptor 0 04 024 has to be included two times.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extent of circulation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 (large storms)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for tracking the centre of synoptic feature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to calculate the movement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Accuracy of the position of the centre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Shape and definition of the eye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Diameter of major axis of the eye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 in character of the eye during the 30 minutes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between the end of spiral band and the centre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number of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interval over which the movement of the tropical cyclone has been calculated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Accuracy of geographical position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diameter of the overcast cloud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Apparent 24-hour change in intensity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Current Intensity (CI)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Tropical (DT)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pattern type of the DT-number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Expected Tropical (MET)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Trend of the past 24-hour change (+: Developed, -: Weakened)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Pattern Tropical (PT)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Cloud picture type of the PT-number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Final Tropical (T) number of the tropical cyclone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the final T-number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Typhoon International Common Number (Typhoon Committee)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