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03: Meteorological sequences common to vertical soundings data</w:t>
      </w:r>
    </w:p>
    <w:p>
      <w:r>
        <w:rPr>
          <w:rFonts w:ascii="Verdana" w:hAnsi="Verdana"/>
          <w:b/>
          <w:sz w:val="18"/>
        </w:rPr>
        <w:t>3 03 001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03 002 (Wind at pressure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03 011 (Wind at height)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03 012 (Wind at pressure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03 013 (Geopotential, temperature, humidity, wind at pressure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03 014 (Geopotential, temperature, dewpoint temperature, wind at pressure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03 021 (Layer, quality)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Define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7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Layer,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t>Layer mean thickness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03 023 (Layer mean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Layer,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Layer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03 024 (Precipitable water)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Layer,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Precipitable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03 025 (Satellite channel and brightness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0 02 025</w:t>
            </w:r>
          </w:p>
        </w:tc>
        <w:tc>
          <w:tcPr>
            <w:tcW w:type="dxa" w:w="3784"/>
          </w:tcPr>
          <w:p>
            <w:pPr>
              <w:spacing w:before="20" w:after="20"/>
            </w:pPr>
            <w:r/>
            <w:r>
              <w:rPr>
                <w:rFonts w:ascii="Verdana" w:hAnsi="Verdana"/>
                <w:b w:val="0"/>
                <w:sz w:val="16"/>
              </w:rPr>
              <w:t>Satellite channel(s) used in computation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7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3 03 026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7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3 03 027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7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Add associated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03 031 (Significance data, land/sea, skin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Base of sounding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Elevation</w:t>
            </w:r>
          </w:p>
        </w:tc>
        <w:tc>
          <w:tcPr>
            <w:tcW w:type="dxa" w:w="3784"/>
          </w:tcPr>
          <w:p>
            <w:pPr>
              <w:spacing w:before="20" w:after="20"/>
            </w:pPr>
            <w:r/>
            <w:r>
              <w:rPr>
                <w:rFonts w:ascii="Verdana" w:hAnsi="Verdana"/>
                <w:b w:val="0"/>
                <w:sz w:val="16"/>
              </w:rPr>
              <w:t>Local zenith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Solar elevation</w:t>
            </w:r>
          </w:p>
        </w:tc>
        <w:tc>
          <w:tcPr>
            <w:tcW w:type="dxa" w:w="3784"/>
          </w:tcPr>
          <w:p>
            <w:pPr>
              <w:spacing w:before="20" w:after="20"/>
            </w:pPr>
            <w:r/>
            <w:r>
              <w:rPr>
                <w:rFonts w:ascii="Verdana" w:hAnsi="Verdana"/>
                <w:b w:val="0"/>
                <w:sz w:val="16"/>
              </w:rPr>
              <w:t>Solar zenith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03 032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03 033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03 040 (Radiosonde duration of flight and termination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7 Flight level termination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Flight level pressure corrections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Reason for termination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03 041 (Wind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Satellite-derived wind computation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0 12 071</w:t>
            </w:r>
          </w:p>
        </w:tc>
        <w:tc>
          <w:tcPr>
            <w:tcW w:type="dxa" w:w="3784"/>
          </w:tcPr>
          <w:p>
            <w:pPr>
              <w:spacing w:before="20" w:after="20"/>
            </w:pPr>
            <w:r/>
            <w:r>
              <w:rPr>
                <w:rFonts w:ascii="Verdana" w:hAnsi="Verdana"/>
                <w:b w:val="0"/>
                <w:sz w:val="16"/>
              </w:rPr>
              <w:t>Coldest cluster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03 050 (Wind data at a pressure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03 051 (Wind shear data at a pressure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Absolute wind shear in 1 km layer below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Absolute wind shear in 1 km layer above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03 052 (Wind data at a height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03 053 (Wind shear data at a height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Absolute wind shear in 1 km layer below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Absolute wind shear in 1 km layer above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03 054 (Temperature, dewpoint and wind data at a pressure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03 055 (Temperature, dewpoint, relative humidity and wind data at a height level with radiosonde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03 056 (Temperature, dewpoint and wind data at a pressure level with radiosonde position and higher precision of pressure and geopotential height)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Since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Extended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Scale: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t>Scale: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Latitude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Longitude displacement (high accuracy)</w:t>
            </w:r>
          </w:p>
        </w:tc>
        <w:tc>
          <w:tcPr>
            <w:tcW w:type="dxa" w:w="3784"/>
          </w:tcPr>
          <w:p>
            <w:pPr>
              <w:spacing w:before="20" w:after="20"/>
            </w:pPr>
            <w:r/>
            <w:r>
              <w:rPr>
                <w:rFonts w:ascii="Verdana" w:hAnsi="Verdana"/>
                <w:b w:val="0"/>
                <w:sz w:val="16"/>
              </w:rPr>
              <w:t>Since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03 099 (Metadata common to temperature/humidity sensors)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0 03 005</w:t>
            </w:r>
          </w:p>
        </w:tc>
        <w:tc>
          <w:tcPr>
            <w:tcW w:type="dxa" w:w="3784"/>
          </w:tcPr>
          <w:p>
            <w:pPr>
              <w:spacing w:before="20" w:after="20"/>
            </w:pPr>
            <w:r/>
            <w:r>
              <w:rPr>
                <w:rFonts w:ascii="Verdana" w:hAnsi="Verdana"/>
                <w:b w:val="0"/>
                <w:sz w:val="16"/>
              </w:rPr>
              <w:t>Horizontal width of screen or shield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0 03 006</w:t>
            </w:r>
          </w:p>
        </w:tc>
        <w:tc>
          <w:tcPr>
            <w:tcW w:type="dxa" w:w="3784"/>
          </w:tcPr>
          <w:p>
            <w:pPr>
              <w:spacing w:before="20" w:after="20"/>
            </w:pPr>
            <w:r/>
            <w:r>
              <w:rPr>
                <w:rFonts w:ascii="Verdana" w:hAnsi="Verdana"/>
                <w:b w:val="0"/>
                <w:sz w:val="16"/>
              </w:rPr>
              <w:t>Horizontal depth of screen or shield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0 03 007</w:t>
            </w:r>
          </w:p>
        </w:tc>
        <w:tc>
          <w:tcPr>
            <w:tcW w:type="dxa" w:w="3784"/>
          </w:tcPr>
          <w:p>
            <w:pPr>
              <w:spacing w:before="20" w:after="20"/>
            </w:pPr>
            <w:r/>
            <w:r>
              <w:rPr>
                <w:rFonts w:ascii="Verdana" w:hAnsi="Verdana"/>
                <w:b w:val="0"/>
                <w:sz w:val="16"/>
              </w:rPr>
              <w:t>Vertical height of screen or shield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0 03 022</w:t>
            </w:r>
          </w:p>
        </w:tc>
        <w:tc>
          <w:tcPr>
            <w:tcW w:type="dxa" w:w="3784"/>
          </w:tcPr>
          <w:p>
            <w:pPr>
              <w:spacing w:before="20" w:after="20"/>
            </w:pPr>
            <w:r/>
            <w:r>
              <w:rPr>
                <w:rFonts w:ascii="Verdana" w:hAnsi="Verdana"/>
                <w:b w:val="0"/>
                <w:sz w:val="16"/>
              </w:rPr>
              <w:t>Instrument owner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0 03 003</w:t>
            </w:r>
          </w:p>
        </w:tc>
        <w:tc>
          <w:tcPr>
            <w:tcW w:type="dxa" w:w="3784"/>
          </w:tcPr>
          <w:p>
            <w:pPr>
              <w:spacing w:before="20" w:after="20"/>
            </w:pPr>
            <w:r/>
            <w:r>
              <w:rPr>
                <w:rFonts w:ascii="Verdana" w:hAnsi="Verdana"/>
                <w:b w:val="0"/>
                <w:sz w:val="16"/>
              </w:rPr>
              <w:t>Thermometer/hygrometer housing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0 03 020</w:t>
            </w:r>
          </w:p>
        </w:tc>
        <w:tc>
          <w:tcPr>
            <w:tcW w:type="dxa" w:w="3784"/>
          </w:tcPr>
          <w:p>
            <w:pPr>
              <w:spacing w:before="20" w:after="20"/>
            </w:pPr>
            <w:r/>
            <w:r>
              <w:rPr>
                <w:rFonts w:ascii="Verdana" w:hAnsi="Verdana"/>
                <w:b w:val="0"/>
                <w:sz w:val="16"/>
              </w:rPr>
              <w:t>Material for thermometer/hygrometer housing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0 03 004</w:t>
            </w:r>
          </w:p>
        </w:tc>
        <w:tc>
          <w:tcPr>
            <w:tcW w:type="dxa" w:w="3784"/>
          </w:tcPr>
          <w:p>
            <w:pPr>
              <w:spacing w:before="20" w:after="20"/>
            </w:pPr>
            <w:r/>
            <w:r>
              <w:rPr>
                <w:rFonts w:ascii="Verdana" w:hAnsi="Verdana"/>
                <w:b w:val="0"/>
                <w:sz w:val="16"/>
              </w:rPr>
              <w:t>Type of screen/shelter/radiation shield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0 03 023</w:t>
            </w:r>
          </w:p>
        </w:tc>
        <w:tc>
          <w:tcPr>
            <w:tcW w:type="dxa" w:w="3784"/>
          </w:tcPr>
          <w:p>
            <w:pPr>
              <w:spacing w:before="20" w:after="20"/>
            </w:pPr>
            <w:r/>
            <w:r>
              <w:rPr>
                <w:rFonts w:ascii="Verdana" w:hAnsi="Verdana"/>
                <w:b w:val="0"/>
                <w:sz w:val="16"/>
              </w:rPr>
              <w:t>Configuration of louvres for thermometer/hygrometer screen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0 03 008</w:t>
            </w:r>
          </w:p>
        </w:tc>
        <w:tc>
          <w:tcPr>
            <w:tcW w:type="dxa" w:w="3784"/>
          </w:tcPr>
          <w:p>
            <w:pPr>
              <w:spacing w:before="20" w:after="20"/>
            </w:pPr>
            <w:r/>
            <w:r>
              <w:rPr>
                <w:rFonts w:ascii="Verdana" w:hAnsi="Verdana"/>
                <w:b w:val="0"/>
                <w:sz w:val="16"/>
              </w:rPr>
              <w:t>Artificially ventilated screen or shield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0 03 009</w:t>
            </w:r>
          </w:p>
        </w:tc>
        <w:tc>
          <w:tcPr>
            <w:tcW w:type="dxa" w:w="3784"/>
          </w:tcPr>
          <w:p>
            <w:pPr>
              <w:spacing w:before="20" w:after="20"/>
            </w:pPr>
            <w:r/>
            <w:r>
              <w:rPr>
                <w:rFonts w:ascii="Verdana" w:hAnsi="Verdana"/>
                <w:b w:val="0"/>
                <w:sz w:val="16"/>
              </w:rPr>
              <w:t>Amount of forced ventilation at time of reading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03 100 (Forecast indices)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0 13 165</w:t>
            </w:r>
          </w:p>
        </w:tc>
        <w:tc>
          <w:tcPr>
            <w:tcW w:type="dxa" w:w="3784"/>
          </w:tcPr>
          <w:p>
            <w:pPr>
              <w:spacing w:before="20" w:after="20"/>
            </w:pPr>
            <w:r/>
            <w:r>
              <w:rPr>
                <w:rFonts w:ascii="Verdana" w:hAnsi="Verdana"/>
                <w:b w:val="0"/>
                <w:sz w:val="16"/>
              </w:rPr>
              <w:t>CAPE (convective available potential energy)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80: For a discussion of 'Forecast indices from ground-based microwave radiometers for operational meteorology' see: https://doi.org/10.5194/amt-8-315-2015.</w:t>
            </w:r>
          </w:p>
        </w:tc>
      </w:tr>
      <w:tr>
        <w:trPr>
          <w:cantSplit/>
        </w:trPr>
        <w:tc>
          <w:tcPr>
            <w:tcW w:type="dxa" w:w="3784"/>
          </w:tcPr>
          <w:p>
            <w:pPr>
              <w:spacing w:before="20" w:after="20"/>
            </w:pPr>
            <w:r/>
            <w:r>
              <w:rPr>
                <w:rFonts w:ascii="Verdana" w:hAnsi="Verdana"/>
                <w:b w:val="0"/>
                <w:sz w:val="16"/>
              </w:rPr>
              <w:t>0 13 045</w:t>
            </w:r>
          </w:p>
        </w:tc>
        <w:tc>
          <w:tcPr>
            <w:tcW w:type="dxa" w:w="3784"/>
          </w:tcPr>
          <w:p>
            <w:pPr>
              <w:spacing w:before="20" w:after="20"/>
            </w:pPr>
            <w:r/>
            <w:r>
              <w:rPr>
                <w:rFonts w:ascii="Verdana" w:hAnsi="Verdana"/>
                <w:b w:val="0"/>
                <w:sz w:val="16"/>
              </w:rPr>
              <w:t>KO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0 13 166</w:t>
            </w:r>
          </w:p>
        </w:tc>
        <w:tc>
          <w:tcPr>
            <w:tcW w:type="dxa" w:w="3784"/>
          </w:tcPr>
          <w:p>
            <w:pPr>
              <w:spacing w:before="20" w:after="20"/>
            </w:pPr>
            <w:r/>
            <w:r>
              <w:rPr>
                <w:rFonts w:ascii="Verdana" w:hAnsi="Verdana"/>
                <w:b w:val="0"/>
                <w:sz w:val="16"/>
              </w:rPr>
              <w:t>Total totals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0 13 044</w:t>
            </w:r>
          </w:p>
        </w:tc>
        <w:tc>
          <w:tcPr>
            <w:tcW w:type="dxa" w:w="3784"/>
          </w:tcPr>
          <w:p>
            <w:pPr>
              <w:spacing w:before="20" w:after="20"/>
            </w:pPr>
            <w:r/>
            <w:r>
              <w:rPr>
                <w:rFonts w:ascii="Verdana" w:hAnsi="Verdana"/>
                <w:b w:val="0"/>
                <w:sz w:val="16"/>
              </w:rPr>
              <w:t>K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0 13 042</w:t>
            </w:r>
          </w:p>
        </w:tc>
        <w:tc>
          <w:tcPr>
            <w:tcW w:type="dxa" w:w="3784"/>
          </w:tcPr>
          <w:p>
            <w:pPr>
              <w:spacing w:before="20" w:after="20"/>
            </w:pPr>
            <w:r/>
            <w:r>
              <w:rPr>
                <w:rFonts w:ascii="Verdana" w:hAnsi="Verdana"/>
                <w:b w:val="0"/>
                <w:sz w:val="16"/>
              </w:rPr>
              <w:t>Parcel lifted index (to 500 hPa)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0 13 167</w:t>
            </w:r>
          </w:p>
        </w:tc>
        <w:tc>
          <w:tcPr>
            <w:tcW w:type="dxa" w:w="3784"/>
          </w:tcPr>
          <w:p>
            <w:pPr>
              <w:spacing w:before="20" w:after="20"/>
            </w:pPr>
            <w:r/>
            <w:r>
              <w:rPr>
                <w:rFonts w:ascii="Verdana" w:hAnsi="Verdana"/>
                <w:b w:val="0"/>
                <w:sz w:val="16"/>
              </w:rPr>
              <w:t>S index (STT)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0 13 168</w:t>
            </w:r>
          </w:p>
        </w:tc>
        <w:tc>
          <w:tcPr>
            <w:tcW w:type="dxa" w:w="3784"/>
          </w:tcPr>
          <w:p>
            <w:pPr>
              <w:spacing w:before="20" w:after="20"/>
            </w:pPr>
            <w:r/>
            <w:r>
              <w:rPr>
                <w:rFonts w:ascii="Verdana" w:hAnsi="Verdana"/>
                <w:b w:val="0"/>
                <w:sz w:val="16"/>
              </w:rPr>
              <w:t>Fog threat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0 13 169</w:t>
            </w:r>
          </w:p>
        </w:tc>
        <w:tc>
          <w:tcPr>
            <w:tcW w:type="dxa" w:w="3784"/>
          </w:tcPr>
          <w:p>
            <w:pPr>
              <w:spacing w:before="20" w:after="20"/>
            </w:pPr>
            <w:r/>
            <w:r>
              <w:rPr>
                <w:rFonts w:ascii="Verdana" w:hAnsi="Verdana"/>
                <w:b w:val="0"/>
                <w:sz w:val="16"/>
              </w:rPr>
              <w:t>MDPI (microburst day potential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0 13 170</w:t>
            </w:r>
          </w:p>
        </w:tc>
        <w:tc>
          <w:tcPr>
            <w:tcW w:type="dxa" w:w="3784"/>
          </w:tcPr>
          <w:p>
            <w:pPr>
              <w:spacing w:before="20" w:after="20"/>
            </w:pPr>
            <w:r/>
            <w:r>
              <w:rPr>
                <w:rFonts w:ascii="Verdana" w:hAnsi="Verdana"/>
                <w:b w:val="0"/>
                <w:sz w:val="16"/>
              </w:rPr>
              <w:t>TQ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0 13 171</w:t>
            </w:r>
          </w:p>
        </w:tc>
        <w:tc>
          <w:tcPr>
            <w:tcW w:type="dxa" w:w="3784"/>
          </w:tcPr>
          <w:p>
            <w:pPr>
              <w:spacing w:before="20" w:after="20"/>
            </w:pPr>
            <w:r/>
            <w:r>
              <w:rPr>
                <w:rFonts w:ascii="Verdana" w:hAnsi="Verdana"/>
                <w:b w:val="0"/>
                <w:sz w:val="16"/>
              </w:rPr>
              <w:t>CIN (convective inhibition)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