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Category 22: Chemical and aerosol sequences</w:t>
      </w:r>
    </w:p>
    <w:p>
      <w:r>
        <w:rPr>
          <w:rFonts w:ascii="Verdana" w:hAnsi="Verdana"/>
          <w:b/>
          <w:sz w:val="18"/>
        </w:rPr>
        <w:t>3 22 001 (Aerosol optical depth)</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3 10 022</w:t>
            </w:r>
          </w:p>
        </w:tc>
        <w:tc>
          <w:tcPr>
            <w:tcW w:type="dxa" w:w="3784"/>
          </w:tcPr>
          <w:p>
            <w:pPr>
              <w:spacing w:before="20" w:after="20"/>
            </w:pPr>
            <w:r/>
            <w:r>
              <w:rPr>
                <w:rFonts w:ascii="Verdana" w:hAnsi="Verdana"/>
                <w:b w:val="0"/>
                <w:sz w:val="16"/>
              </w:rPr>
              <w:t>Satellite identifier, instrument and product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0 05 041</w:t>
            </w:r>
          </w:p>
        </w:tc>
        <w:tc>
          <w:tcPr>
            <w:tcW w:type="dxa" w:w="3784"/>
          </w:tcPr>
          <w:p>
            <w:pPr>
              <w:spacing w:before="20" w:after="20"/>
            </w:pPr>
            <w:r/>
            <w:r>
              <w:rPr>
                <w:rFonts w:ascii="Verdana" w:hAnsi="Verdana"/>
                <w:b w:val="0"/>
                <w:sz w:val="16"/>
              </w:rPr>
              <w:t>Scan line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0 05 043</w:t>
            </w:r>
          </w:p>
        </w:tc>
        <w:tc>
          <w:tcPr>
            <w:tcW w:type="dxa" w:w="3784"/>
          </w:tcPr>
          <w:p>
            <w:pPr>
              <w:spacing w:before="20" w:after="20"/>
            </w:pPr>
            <w:r/>
            <w:r>
              <w:rPr>
                <w:rFonts w:ascii="Verdana" w:hAnsi="Verdana"/>
                <w:b w:val="0"/>
                <w:sz w:val="16"/>
              </w:rPr>
              <w:t>Field of view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0 27 080</w:t>
            </w:r>
          </w:p>
        </w:tc>
        <w:tc>
          <w:tcPr>
            <w:tcW w:type="dxa" w:w="3784"/>
          </w:tcPr>
          <w:p>
            <w:pPr>
              <w:spacing w:before="20" w:after="20"/>
            </w:pPr>
            <w:r/>
            <w:r>
              <w:rPr>
                <w:rFonts w:ascii="Verdana" w:hAnsi="Verdana"/>
                <w:b w:val="0"/>
                <w:sz w:val="16"/>
              </w:rPr>
              <w:t>Viewing azimuth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0 05 022</w:t>
            </w:r>
          </w:p>
        </w:tc>
        <w:tc>
          <w:tcPr>
            <w:tcW w:type="dxa" w:w="3784"/>
          </w:tcPr>
          <w:p>
            <w:pPr>
              <w:spacing w:before="20" w:after="20"/>
            </w:pPr>
            <w:r/>
            <w:r>
              <w:rPr>
                <w:rFonts w:ascii="Verdana" w:hAnsi="Verdana"/>
                <w:b w:val="0"/>
                <w:sz w:val="16"/>
              </w:rPr>
              <w:t>Solar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0 13 040</w:t>
            </w:r>
          </w:p>
        </w:tc>
        <w:tc>
          <w:tcPr>
            <w:tcW w:type="dxa" w:w="3784"/>
          </w:tcPr>
          <w:p>
            <w:pPr>
              <w:spacing w:before="20" w:after="20"/>
            </w:pPr>
            <w:r/>
            <w:r>
              <w:rPr>
                <w:rFonts w:ascii="Verdana" w:hAnsi="Verdana"/>
                <w:b w:val="0"/>
                <w:sz w:val="16"/>
              </w:rPr>
              <w:t>Surface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0 20 010</w:t>
            </w:r>
          </w:p>
        </w:tc>
        <w:tc>
          <w:tcPr>
            <w:tcW w:type="dxa" w:w="3784"/>
          </w:tcPr>
          <w:p>
            <w:pPr>
              <w:spacing w:before="20" w:after="20"/>
            </w:pPr>
            <w:r/>
            <w:r>
              <w:rPr>
                <w:rFonts w:ascii="Verdana" w:hAnsi="Verdana"/>
                <w:b w:val="0"/>
                <w:sz w:val="16"/>
              </w:rPr>
              <w:t>Cloud cover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0 33 085</w:t>
            </w:r>
          </w:p>
        </w:tc>
        <w:tc>
          <w:tcPr>
            <w:tcW w:type="dxa" w:w="3784"/>
          </w:tcPr>
          <w:p>
            <w:pPr>
              <w:spacing w:before="20" w:after="20"/>
            </w:pPr>
            <w:r/>
            <w:r>
              <w:rPr>
                <w:rFonts w:ascii="Verdana" w:hAnsi="Verdana"/>
                <w:b w:val="0"/>
                <w:sz w:val="16"/>
              </w:rPr>
              <w:t>Aerosol optical thickness quality flags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0 33 115</w:t>
            </w:r>
          </w:p>
        </w:tc>
        <w:tc>
          <w:tcPr>
            <w:tcW w:type="dxa" w:w="3784"/>
          </w:tcPr>
          <w:p>
            <w:pPr>
              <w:spacing w:before="20" w:after="20"/>
            </w:pPr>
            <w:r/>
            <w:r>
              <w:rPr>
                <w:rFonts w:ascii="Verdana" w:hAnsi="Verdana"/>
                <w:b w:val="0"/>
                <w:sz w:val="16"/>
              </w:rPr>
              <w:t>Aerosol optical depth 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1 05 002</w:t>
            </w:r>
          </w:p>
        </w:tc>
        <w:tc>
          <w:tcPr>
            <w:tcW w:type="dxa" w:w="3784"/>
          </w:tcPr>
          <w:p>
            <w:pPr>
              <w:spacing w:before="20" w:after="20"/>
            </w:pPr>
            <w:r/>
            <w:r>
              <w:rPr>
                <w:rFonts w:ascii="Verdana" w:hAnsi="Verdana"/>
                <w:b w:val="0"/>
                <w:sz w:val="16"/>
              </w:rPr>
              <w:t>Replicate 5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0 08 099</w:t>
            </w:r>
          </w:p>
        </w:tc>
        <w:tc>
          <w:tcPr>
            <w:tcW w:type="dxa" w:w="3784"/>
          </w:tcPr>
          <w:p>
            <w:pPr>
              <w:spacing w:before="20" w:after="20"/>
            </w:pPr>
            <w:r/>
            <w:r>
              <w:rPr>
                <w:rFonts w:ascii="Verdana" w:hAnsi="Verdana"/>
                <w:b w:val="0"/>
                <w:sz w:val="16"/>
              </w:rPr>
              <w:t>Sensing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0 07 024</w:t>
            </w:r>
          </w:p>
        </w:tc>
        <w:tc>
          <w:tcPr>
            <w:tcW w:type="dxa" w:w="3784"/>
          </w:tcPr>
          <w:p>
            <w:pPr>
              <w:spacing w:before="20" w:after="20"/>
            </w:pPr>
            <w:r/>
            <w:r>
              <w:rPr>
                <w:rFonts w:ascii="Verdana" w:hAnsi="Verdana"/>
                <w:b w:val="0"/>
                <w:sz w:val="16"/>
              </w:rPr>
              <w:t>Satellite zenith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0 07 025</w:t>
            </w:r>
          </w:p>
        </w:tc>
        <w:tc>
          <w:tcPr>
            <w:tcW w:type="dxa" w:w="3784"/>
          </w:tcPr>
          <w:p>
            <w:pPr>
              <w:spacing w:before="20" w:after="20"/>
            </w:pPr>
            <w:r/>
            <w:r>
              <w:rPr>
                <w:rFonts w:ascii="Verdana" w:hAnsi="Verdana"/>
                <w:b w:val="0"/>
                <w:sz w:val="16"/>
              </w:rPr>
              <w:t>Solar zenith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0 07 075</w:t>
            </w:r>
          </w:p>
        </w:tc>
        <w:tc>
          <w:tcPr>
            <w:tcW w:type="dxa" w:w="3784"/>
          </w:tcPr>
          <w:p>
            <w:pPr>
              <w:spacing w:before="20" w:after="20"/>
            </w:pPr>
            <w:r/>
            <w:r>
              <w:rPr>
                <w:rFonts w:ascii="Verdana" w:hAnsi="Verdana"/>
                <w:b w:val="0"/>
                <w:sz w:val="16"/>
              </w:rPr>
              <w:t>Scattering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0 07 076</w:t>
            </w:r>
          </w:p>
        </w:tc>
        <w:tc>
          <w:tcPr>
            <w:tcW w:type="dxa" w:w="3784"/>
          </w:tcPr>
          <w:p>
            <w:pPr>
              <w:spacing w:before="20" w:after="20"/>
            </w:pPr>
            <w:r/>
            <w:r>
              <w:rPr>
                <w:rFonts w:ascii="Verdana" w:hAnsi="Verdana"/>
                <w:b w:val="0"/>
                <w:sz w:val="16"/>
              </w:rPr>
              <w:t>Relative azimuth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1 06 000</w:t>
            </w:r>
          </w:p>
        </w:tc>
        <w:tc>
          <w:tcPr>
            <w:tcW w:type="dxa" w:w="3784"/>
          </w:tcPr>
          <w:p>
            <w:pPr>
              <w:spacing w:before="20" w:after="20"/>
            </w:pPr>
            <w:r/>
            <w:r>
              <w:rPr>
                <w:rFonts w:ascii="Verdana" w:hAnsi="Verdana"/>
                <w:b w:val="0"/>
                <w:sz w:val="16"/>
              </w:rPr>
              <w:t>Delayed replication of 6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0 02 071</w:t>
            </w:r>
          </w:p>
        </w:tc>
        <w:tc>
          <w:tcPr>
            <w:tcW w:type="dxa" w:w="3784"/>
          </w:tcPr>
          <w:p>
            <w:pPr>
              <w:spacing w:before="20" w:after="20"/>
            </w:pPr>
            <w:r/>
            <w:r>
              <w:rPr>
                <w:rFonts w:ascii="Verdana" w:hAnsi="Verdana"/>
                <w:b w:val="0"/>
                <w:sz w:val="16"/>
              </w:rPr>
              <w:t>Spectrographic wavelength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0 08 043</w:t>
            </w:r>
          </w:p>
        </w:tc>
        <w:tc>
          <w:tcPr>
            <w:tcW w:type="dxa" w:w="3784"/>
          </w:tcPr>
          <w:p>
            <w:pPr>
              <w:spacing w:before="20" w:after="20"/>
            </w:pPr>
            <w:r/>
            <w:r>
              <w:rPr>
                <w:rFonts w:ascii="Verdana" w:hAnsi="Verdana"/>
                <w:b w:val="0"/>
                <w:sz w:val="16"/>
              </w:rPr>
              <w:t>Atmospheric chemical or physical constituent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0 15 024</w:t>
            </w:r>
          </w:p>
        </w:tc>
        <w:tc>
          <w:tcPr>
            <w:tcW w:type="dxa" w:w="3784"/>
          </w:tcPr>
          <w:p>
            <w:pPr>
              <w:spacing w:before="20" w:after="20"/>
            </w:pPr>
            <w:r/>
            <w:r>
              <w:rPr>
                <w:rFonts w:ascii="Verdana" w:hAnsi="Verdana"/>
                <w:b w:val="0"/>
                <w:sz w:val="16"/>
              </w:rPr>
              <w:t>Optical depth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0 08 043</w:t>
            </w:r>
          </w:p>
        </w:tc>
        <w:tc>
          <w:tcPr>
            <w:tcW w:type="dxa" w:w="3784"/>
          </w:tcPr>
          <w:p>
            <w:pPr>
              <w:spacing w:before="20" w:after="20"/>
            </w:pPr>
            <w:r/>
            <w:r>
              <w:rPr>
                <w:rFonts w:ascii="Verdana" w:hAnsi="Verdana"/>
                <w:b w:val="0"/>
                <w:sz w:val="16"/>
              </w:rPr>
              <w:t>Atmospheric chemical or physical constituent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0 15 024</w:t>
            </w:r>
          </w:p>
        </w:tc>
        <w:tc>
          <w:tcPr>
            <w:tcW w:type="dxa" w:w="3784"/>
          </w:tcPr>
          <w:p>
            <w:pPr>
              <w:spacing w:before="20" w:after="20"/>
            </w:pPr>
            <w:r/>
            <w:r>
              <w:rPr>
                <w:rFonts w:ascii="Verdana" w:hAnsi="Verdana"/>
                <w:b w:val="0"/>
                <w:sz w:val="16"/>
              </w:rPr>
              <w:t>Optical depth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0 15 042</w:t>
            </w:r>
          </w:p>
        </w:tc>
        <w:tc>
          <w:tcPr>
            <w:tcW w:type="dxa" w:w="3784"/>
          </w:tcPr>
          <w:p>
            <w:pPr>
              <w:spacing w:before="20" w:after="20"/>
            </w:pPr>
            <w:r/>
            <w:r>
              <w:rPr>
                <w:rFonts w:ascii="Verdana" w:hAnsi="Verdana"/>
                <w:b w:val="0"/>
                <w:sz w:val="16"/>
              </w:rPr>
              <w:t>Reflectance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2 24 000</w:t>
            </w:r>
          </w:p>
        </w:tc>
        <w:tc>
          <w:tcPr>
            <w:tcW w:type="dxa" w:w="3784"/>
          </w:tcPr>
          <w:p>
            <w:pPr>
              <w:spacing w:before="20" w:after="20"/>
            </w:pPr>
            <w:r/>
            <w:r>
              <w:rPr>
                <w:rFonts w:ascii="Verdana" w:hAnsi="Verdana"/>
                <w:b w:val="0"/>
                <w:sz w:val="16"/>
              </w:rPr>
              <w:t>First-order statistical values follow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2 36 000</w:t>
            </w:r>
          </w:p>
        </w:tc>
        <w:tc>
          <w:tcPr>
            <w:tcW w:type="dxa" w:w="3784"/>
          </w:tcPr>
          <w:p>
            <w:pPr>
              <w:spacing w:before="20" w:after="20"/>
            </w:pPr>
            <w:r/>
            <w:r>
              <w:rPr>
                <w:rFonts w:ascii="Verdana" w:hAnsi="Verdana"/>
                <w:b w:val="0"/>
                <w:sz w:val="16"/>
              </w:rPr>
              <w:t>Define data present bit-map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0 31 031</w:t>
            </w:r>
          </w:p>
        </w:tc>
        <w:tc>
          <w:tcPr>
            <w:tcW w:type="dxa" w:w="3784"/>
          </w:tcPr>
          <w:p>
            <w:pPr>
              <w:spacing w:before="20" w:after="20"/>
            </w:pPr>
            <w:r/>
            <w:r>
              <w:rPr>
                <w:rFonts w:ascii="Verdana" w:hAnsi="Verdana"/>
                <w:b w:val="0"/>
                <w:sz w:val="16"/>
              </w:rPr>
              <w:t>Data present indicator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Identification of originating/generating 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0 01 032</w:t>
            </w:r>
          </w:p>
        </w:tc>
        <w:tc>
          <w:tcPr>
            <w:tcW w:type="dxa" w:w="3784"/>
          </w:tcPr>
          <w:p>
            <w:pPr>
              <w:spacing w:before="20" w:after="20"/>
            </w:pPr>
            <w:r/>
            <w:r>
              <w:rPr>
                <w:rFonts w:ascii="Verdana" w:hAnsi="Verdana"/>
                <w:b w:val="0"/>
                <w:sz w:val="16"/>
              </w:rPr>
              <w:t>Generating application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2 24 255</w:t>
            </w:r>
          </w:p>
        </w:tc>
        <w:tc>
          <w:tcPr>
            <w:tcW w:type="dxa" w:w="3784"/>
          </w:tcPr>
          <w:p>
            <w:pPr>
              <w:spacing w:before="20" w:after="20"/>
            </w:pPr>
            <w:r/>
            <w:r>
              <w:rPr>
                <w:rFonts w:ascii="Verdana" w:hAnsi="Verdana"/>
                <w:b w:val="0"/>
                <w:sz w:val="16"/>
              </w:rPr>
              <w:t>First-order statistical values marker operator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22 028 (METOP GOME-2)</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Satellite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0 28 001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0 28 001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0 28 001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0 28 001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0 10 001</w:t>
            </w:r>
          </w:p>
        </w:tc>
        <w:tc>
          <w:tcPr>
            <w:tcW w:type="dxa" w:w="3784"/>
          </w:tcPr>
          <w:p>
            <w:pPr>
              <w:spacing w:before="20" w:after="20"/>
            </w:pPr>
            <w:r/>
            <w:r>
              <w:rPr>
                <w:rFonts w:ascii="Verdana" w:hAnsi="Verdana"/>
                <w:b w:val="0"/>
                <w:sz w:val="16"/>
              </w:rPr>
              <w:t>Height of land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0 14 019</w:t>
            </w:r>
          </w:p>
        </w:tc>
        <w:tc>
          <w:tcPr>
            <w:tcW w:type="dxa" w:w="3784"/>
          </w:tcPr>
          <w:p>
            <w:pPr>
              <w:spacing w:before="20" w:after="20"/>
            </w:pPr>
            <w:r/>
            <w:r>
              <w:rPr>
                <w:rFonts w:ascii="Verdana" w:hAnsi="Verdana"/>
                <w:b w:val="0"/>
                <w:sz w:val="16"/>
              </w:rPr>
              <w:t>Surface albedo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0 07 025</w:t>
            </w:r>
          </w:p>
        </w:tc>
        <w:tc>
          <w:tcPr>
            <w:tcW w:type="dxa" w:w="3784"/>
          </w:tcPr>
          <w:p>
            <w:pPr>
              <w:spacing w:before="20" w:after="20"/>
            </w:pPr>
            <w:r/>
            <w:r>
              <w:rPr>
                <w:rFonts w:ascii="Verdana" w:hAnsi="Verdana"/>
                <w:b w:val="0"/>
                <w:sz w:val="16"/>
              </w:rPr>
              <w:t>Solar zenith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0 10 080</w:t>
            </w:r>
          </w:p>
        </w:tc>
        <w:tc>
          <w:tcPr>
            <w:tcW w:type="dxa" w:w="3784"/>
          </w:tcPr>
          <w:p>
            <w:pPr>
              <w:spacing w:before="20" w:after="20"/>
            </w:pPr>
            <w:r/>
            <w:r>
              <w:rPr>
                <w:rFonts w:ascii="Verdana" w:hAnsi="Verdana"/>
                <w:b w:val="0"/>
                <w:sz w:val="16"/>
              </w:rPr>
              <w:t>Viewing zenith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0 05 023</w:t>
            </w:r>
          </w:p>
        </w:tc>
        <w:tc>
          <w:tcPr>
            <w:tcW w:type="dxa" w:w="3784"/>
          </w:tcPr>
          <w:p>
            <w:pPr>
              <w:spacing w:before="20" w:after="20"/>
            </w:pPr>
            <w:r/>
            <w:r>
              <w:rPr>
                <w:rFonts w:ascii="Verdana" w:hAnsi="Verdana"/>
                <w:b w:val="0"/>
                <w:sz w:val="16"/>
              </w:rPr>
              <w:t>Sun to satellite azimuth difference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0 20 010</w:t>
            </w:r>
          </w:p>
        </w:tc>
        <w:tc>
          <w:tcPr>
            <w:tcW w:type="dxa" w:w="3784"/>
          </w:tcPr>
          <w:p>
            <w:pPr>
              <w:spacing w:before="20" w:after="20"/>
            </w:pPr>
            <w:r/>
            <w:r>
              <w:rPr>
                <w:rFonts w:ascii="Verdana" w:hAnsi="Verdana"/>
                <w:b w:val="0"/>
                <w:sz w:val="16"/>
              </w:rPr>
              <w:t>Cloud cover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0 08 003</w:t>
            </w:r>
          </w:p>
        </w:tc>
        <w:tc>
          <w:tcPr>
            <w:tcW w:type="dxa" w:w="3784"/>
          </w:tcPr>
          <w:p>
            <w:pPr>
              <w:spacing w:before="20" w:after="20"/>
            </w:pPr>
            <w:r/>
            <w:r>
              <w:rPr>
                <w:rFonts w:ascii="Verdana" w:hAnsi="Verdana"/>
                <w:b w:val="0"/>
                <w:sz w:val="16"/>
              </w:rPr>
              <w:t>Vertical significance (satellite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0 14 026</w:t>
            </w:r>
          </w:p>
        </w:tc>
        <w:tc>
          <w:tcPr>
            <w:tcW w:type="dxa" w:w="3784"/>
          </w:tcPr>
          <w:p>
            <w:pPr>
              <w:spacing w:before="20" w:after="20"/>
            </w:pPr>
            <w:r/>
            <w:r>
              <w:rPr>
                <w:rFonts w:ascii="Verdana" w:hAnsi="Verdana"/>
                <w:b w:val="0"/>
                <w:sz w:val="16"/>
              </w:rPr>
              <w:t>Albedo at the top of clouds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0 20 014</w:t>
            </w:r>
          </w:p>
        </w:tc>
        <w:tc>
          <w:tcPr>
            <w:tcW w:type="dxa" w:w="3784"/>
          </w:tcPr>
          <w:p>
            <w:pPr>
              <w:spacing w:before="20" w:after="20"/>
            </w:pPr>
            <w:r/>
            <w:r>
              <w:rPr>
                <w:rFonts w:ascii="Verdana" w:hAnsi="Verdana"/>
                <w:b w:val="0"/>
                <w:sz w:val="16"/>
              </w:rPr>
              <w:t>Height of top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0 13 093</w:t>
            </w:r>
          </w:p>
        </w:tc>
        <w:tc>
          <w:tcPr>
            <w:tcW w:type="dxa" w:w="3784"/>
          </w:tcPr>
          <w:p>
            <w:pPr>
              <w:spacing w:before="20" w:after="20"/>
            </w:pPr>
            <w:r/>
            <w:r>
              <w:rPr>
                <w:rFonts w:ascii="Verdana" w:hAnsi="Verdana"/>
                <w:b w:val="0"/>
                <w:sz w:val="16"/>
              </w:rPr>
              <w:t>Cloud optical thickness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0 08 043</w:t>
            </w:r>
          </w:p>
        </w:tc>
        <w:tc>
          <w:tcPr>
            <w:tcW w:type="dxa" w:w="3784"/>
          </w:tcPr>
          <w:p>
            <w:pPr>
              <w:spacing w:before="20" w:after="20"/>
            </w:pPr>
            <w:r/>
            <w:r>
              <w:rPr>
                <w:rFonts w:ascii="Verdana" w:hAnsi="Verdana"/>
                <w:b w:val="0"/>
                <w:sz w:val="16"/>
              </w:rPr>
              <w:t>Atmospheric chemical or physical constituent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0 08 044</w:t>
            </w:r>
          </w:p>
        </w:tc>
        <w:tc>
          <w:tcPr>
            <w:tcW w:type="dxa" w:w="3784"/>
          </w:tcPr>
          <w:p>
            <w:pPr>
              <w:spacing w:before="20" w:after="20"/>
            </w:pPr>
            <w:r/>
            <w:r>
              <w:rPr>
                <w:rFonts w:ascii="Verdana" w:hAnsi="Verdana"/>
                <w:b w:val="0"/>
                <w:sz w:val="16"/>
              </w:rPr>
              <w:t>CAS registry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0 15 021</w:t>
            </w:r>
          </w:p>
        </w:tc>
        <w:tc>
          <w:tcPr>
            <w:tcW w:type="dxa" w:w="3784"/>
          </w:tcPr>
          <w:p>
            <w:pPr>
              <w:spacing w:before="20" w:after="20"/>
            </w:pPr>
            <w:r/>
            <w:r>
              <w:rPr>
                <w:rFonts w:ascii="Verdana" w:hAnsi="Verdana"/>
                <w:b w:val="0"/>
                <w:sz w:val="16"/>
              </w:rPr>
              <w:t>Integrated mass density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p>
      <w:r>
        <w:rPr>
          <w:rFonts w:ascii="Verdana" w:hAnsi="Verdana"/>
          <w:i/>
          <w:sz w:val="14"/>
        </w:rPr>
        <w:t>Note 4: Additional descriptors are required to reduce the workload with respect to the station database, e.g. for identification of the federal state and identification of the highway.</w:t>
      </w:r>
    </w:p>
    <w:p>
      <w:r>
        <w:rPr>
          <w:rFonts w:ascii="Verdana" w:hAnsi="Verdana"/>
          <w:i/>
          <w:sz w:val="14"/>
        </w:rPr>
        <w:t>Note 7: Compound BUFR messages may be described within the data description section, if required (e.g. 3 01 041, 3 04 001, 3 04 002, 3 04 003, 3 04 004, 3 04 005, 3 04 006).</w:t>
      </w:r>
    </w:p>
    <w:p>
      <w:r>
        <w:rPr>
          <w:rFonts w:ascii="Verdana" w:hAnsi="Verdana"/>
          <w:i/>
          <w:sz w:val="14"/>
        </w:rPr>
        <w:t>Note 10: Decibel (dB) is a logarithmic measure of the relative power, or of the relative values of two flux densities, especially of sound intensities and radio and radar power densities. In radar meteorology, the logarithmic scale (dBZ) is used for measuring radar reflectivity factor (obtained from the American Meteorological Society Glossary of Meteorology).</w:t>
      </w:r>
    </w:p>
    <w:p>
      <w:r>
        <w:rPr>
          <w:rFonts w:ascii="Verdana" w:hAnsi="Verdana"/>
          <w:i/>
          <w:sz w:val="14"/>
        </w:rPr>
        <w:t>Note 15: Descriptors 3 03 021 to 3 03 027 are not available in CREX.</w:t>
      </w:r>
    </w:p>
    <w:p>
      <w:r>
        <w:rPr>
          <w:rFonts w:ascii="Verdana" w:hAnsi="Verdana"/>
          <w:i/>
          <w:sz w:val="14"/>
        </w:rPr>
        <w:t>Note 16: Each BUFR message may contain data for a number of locations; the BUFR compression technique involves negligible overheads for data items that are invariant.</w:t>
      </w:r>
    </w:p>
    <w:p>
      <w:r>
        <w:rPr>
          <w:rFonts w:ascii="Verdana" w:hAnsi="Verdana"/>
          <w:i/>
          <w:sz w:val="14"/>
        </w:rPr>
        <w:t>Note 32: It could be argued that, as only additions are possible, only complete lines should be allowed; but it is conceivable that local areas will require changes as well as additions, so it is better and in any case clearer to provide descriptions for all the fields.</w:t>
      </w:r>
    </w:p>
    <w:p>
      <w:r>
        <w:rPr>
          <w:rFonts w:ascii="Verdana" w:hAnsi="Verdana"/>
          <w:i/>
          <w:sz w:val="14"/>
        </w:rPr>
        <w:t>Note 33: It is better to use different Class 00 descriptors for the defining and defined elements, in the same way as different descriptors correspond to pressure considered as a coordinate and pressure measured at a given point; otherwise special rules would be needed to interpret such message. Entries 0 00 010 to 0 00 012 define F, X and Y for Tables B and D; entry 0 00 030 is a descriptor used as data and provides the F, X and Y values defining a sequence for Table D entries.</w:t>
      </w:r>
    </w:p>
    <w:p>
      <w:r>
        <w:rPr>
          <w:rFonts w:ascii="Verdana" w:hAnsi="Verdana"/>
          <w:i/>
          <w:sz w:val="14"/>
        </w:rPr>
        <w:t>Note 34: Latitude displacement 0 05 015 in the sequence represents the latitude offset from the latitude of the launch site. Longitude displacement 0 06 015 in the sequence represents the longitude offset from the longitude of the launch site.</w:t>
      </w:r>
    </w:p>
    <w:p>
      <w:r>
        <w:rPr>
          <w:rFonts w:ascii="Verdana" w:hAnsi="Verdana"/>
          <w:i/>
          <w:sz w:val="14"/>
        </w:rPr>
        <w:t>Note 35: Long time displacement 0 04 086 in the sequence represents the time offset from the launch time 3 01 013 (in seconds).</w:t>
      </w:r>
    </w:p>
    <w:p>
      <w:r>
        <w:rPr>
          <w:rFonts w:ascii="Verdana" w:hAnsi="Verdana"/>
          <w:i/>
          <w:sz w:val="14"/>
        </w:rPr>
        <w:t>Note 43: Separation of single level satellite data into sets of BUFR messages helps compression and results inefficient data transmission and storage.</w:t>
      </w:r>
    </w:p>
    <w:p>
      <w:r>
        <w:rPr>
          <w:rFonts w:ascii="Verdana" w:hAnsi="Verdana"/>
          <w:i/>
          <w:sz w:val="14"/>
        </w:rPr>
        <w:t>Note 49: The majority of stations has only one position on the road and one subsurface temperature sensor. Delayed Replications have been introduced to increase flexibility and volume efficiency.</w:t>
      </w:r>
    </w:p>
    <w:p>
      <w:r>
        <w:rPr>
          <w:rFonts w:ascii="Verdana" w:hAnsi="Verdana"/>
          <w:i/>
          <w:sz w:val="14"/>
        </w:rPr>
        <w:t>Note 62: These descriptors should not be used in CREX for transmission.</w:t>
      </w:r>
    </w:p>
    <w:p>
      <w:r>
        <w:rPr>
          <w:rFonts w:ascii="Verdana" w:hAnsi="Verdana"/>
          <w:i/>
          <w:sz w:val="14"/>
        </w:rPr>
        <w:t>Note 63: These entries include the facility to update the Table A code figure and data description.</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