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29</w:t>
      </w:r>
    </w:p>
    <w:p>
      <w:r>
        <w:rPr>
          <w:rFonts w:ascii="Verdana" w:hAnsi="Verdana"/>
          <w:b/>
          <w:sz w:val="18"/>
        </w:rPr>
        <w:t>0 29 001  Tipo de proyección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Proyección gnomónica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Proyección estereográfica 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Proyección cónica de Lambert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Proyección de Mercator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Cono de barrido (radar)</w:t>
            </w:r>
          </w:p>
        </w:tc>
        <w:tc>
          <w:tcPr>
            <w:tcW w:type="dxa" w:w="5046"/>
          </w:tcPr>
          <w:p>
            <w:pPr>
              <w:spacing w:before="20" w:after="20"/>
            </w:pPr>
            <w:r/>
            <w:r>
              <w:rPr>
                <w:rFonts w:ascii="Verdana" w:hAnsi="Verdana"/>
                <w:b w:val="0"/>
                <w:sz w:val="16"/>
              </w:rPr>
              <w:t>Note 65: Este factor de repetición deberá tener el valor de “1” cuando se describe un elemento en 2-D, en tanto que los elementos en 3-D pueden describirse mediante cualquiera de los métodos siguientes: a) a través de dos o más secciones horizontales en niveles de vuelo ascendentes sucesivos. En este caso, cada sección será descrita por un número idéntico de puntos de latitud/longitud enumerados en orden idéntico (es decir, cuando cada punto x de la sección n va a unirse mediante una línea recta con el punto x de la sección n+1), para garantizar que la configuración general del elemento en 3-D queda expresada sin ambigüedad. En este caso, todos los valores comunicados para 0 33 042 serán “faltantes”. b) a través de una sección horizontal única y un valor apropiado comunicado para 0 33 042 como sigue. En todos esos casos, la correspondiente descripción de la sección horizontal se aplica a la región entera. i) Un valor de “0” indicará una región por encima del nivel de vuelo comunicado (pero no incluido) y con un límite superior no especificado. ii) Un valor de “1” indicará una región por encima del nivel de vuelo comunicado (e incluido) y con un límite superior no especificado. iii) Un valor de “2” indicará una región por debajo del nivel de vuelo comunicado (pero no incluido) y que se extiende a la superficie. iv) Un valor de “3” indicará una región por debajo del nivel de vuelo comunicado (e incluido) y que se extiende a la superficie. c) a través de dos repeticiones de la misma sección horizontal al mismo nivel de vuelo comunicado, con objeto de indicar una región que se extiende por debajo y por encima del nivel de vuelo comunicado (¡incluidos!). En este caso, los valores comunicados para las dos repeticiones de 0 33 042 serán como sigue: i) Valores de “3” y “1”, respectivamente, para indicar una región que comienza desde abajo de un nivel de vuelo comunicado, pero que continúa a través de ese nivel hacia arriba hasta cierto punto no especificado (por ejemplo, TOP ABV FL 100). ii) Valores de “1” y “3”, respectivamente, para indicar una región que comienza desde arriba de un nivel de vuelo comunicado, pero que continúa a través de ese nivel hacia abajo hasta cierto punto no especificado (por ejemplo, CIGS BLW FL010).</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Sin proyección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29 002  Tipo de retícula de coordenadas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Cartesiana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 otro tipo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