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00: Entradas de las tablas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98: Las tablas maestras están descritas en la nota 2 de la Sección 1 de las reglas BUFR (parte de la regla titulada “Especificación del contenido de octetos”).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edición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33: Para elementos que definen o son definidos es preferible utilizar los diferentes descriptores de la Clase 00, del mismo modo que los diferentes descriptores corresponden a la presión considerada como coordenada o a la presión medida en determinado punto; de otra manera se necesitarían reglas especiales para interpretar un mensaje. Las entradas 0 00 010 a 0 00 012 definen a F, X e Y para las Tablas B y D; la entrada 0 00 030 es un descriptor que se utiliza para datos y proporciona los valores de F, X e Y que definen secuencias para las entradas de la Tabla 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40: Los niveles no superficiales sobre la coordenada vertical nativa del modelo son transpuestos a una coordenada de presión. Con ello, los niveles son más fácilmente interpretables por las personas y más fáciles de utilizar por aplicaciones de visualización genéricas. Los niveles pueden corresponder exactamente a niveles nativos del modelo o haber sido interpolados entre niveles del modelo a unos niveles de presión seleccionados por el centro generador.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En 3 07 045, 3 07 048 y 3 07 053, la velocidad del viento se indicará en las mismas unidades que en los datos alfanuméricos originales, y: 0 11 083 se fijará en faltante si la velocidad del viento figura en nudos o en m s–1 en los datos alfanuméricos, 0 11 084 se fijará en faltante si la velocidad del viento figura en km h–1 o en m s–1 en los datos alfanuméricos.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F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X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Y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del 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datos del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 la 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del 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que define al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