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01: Identificación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0 01 001</w:t>
            </w:r>
          </w:p>
        </w:tc>
        <w:tc>
          <w:tcPr>
            <w:tcW w:type="dxa" w:w="1514"/>
          </w:tcPr>
          <w:p>
            <w:pPr>
              <w:spacing w:before="20" w:after="20"/>
            </w:pPr>
            <w:r/>
            <w:r>
              <w:rPr>
                <w:rFonts w:ascii="Verdana" w:hAnsi="Verdana"/>
                <w:b w:val="0"/>
                <w:sz w:val="16"/>
              </w:rPr>
              <w:t>Número de bloque de la OMM</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0 01 002</w:t>
            </w:r>
          </w:p>
        </w:tc>
        <w:tc>
          <w:tcPr>
            <w:tcW w:type="dxa" w:w="1514"/>
          </w:tcPr>
          <w:p>
            <w:pPr>
              <w:spacing w:before="20" w:after="20"/>
            </w:pPr>
            <w:r/>
            <w:r>
              <w:rPr>
                <w:rFonts w:ascii="Verdana" w:hAnsi="Verdana"/>
                <w:b w:val="0"/>
                <w:sz w:val="16"/>
              </w:rPr>
              <w:t>Número de la estación de la OMM</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0 01 003</w:t>
            </w:r>
          </w:p>
        </w:tc>
        <w:tc>
          <w:tcPr>
            <w:tcW w:type="dxa" w:w="1514"/>
          </w:tcPr>
          <w:p>
            <w:pPr>
              <w:spacing w:before="20" w:after="20"/>
            </w:pPr>
            <w:r/>
            <w:r>
              <w:rPr>
                <w:rFonts w:ascii="Verdana" w:hAnsi="Verdana"/>
                <w:b w:val="0"/>
                <w:sz w:val="16"/>
              </w:rPr>
              <w:t>Número de Región de la OMM/zona geográfica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0 01 004</w:t>
            </w:r>
          </w:p>
        </w:tc>
        <w:tc>
          <w:tcPr>
            <w:tcW w:type="dxa" w:w="1514"/>
          </w:tcPr>
          <w:p>
            <w:pPr>
              <w:spacing w:before="20" w:after="20"/>
            </w:pPr>
            <w:r/>
            <w:r>
              <w:rPr>
                <w:rFonts w:ascii="Verdana" w:hAnsi="Verdana"/>
                <w:b w:val="0"/>
                <w:sz w:val="16"/>
              </w:rPr>
              <w:t>Subzona de la Región de la OMM</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42: La gama de valores del parámetro 0 04 015 está limitada de –99 a 99; la secuencia común D 06 019 de CREX es la secuencia original con solo 2 caracteres para el descriptor correspondiente.</w:t>
            </w:r>
          </w:p>
        </w:tc>
      </w:tr>
      <w:tr>
        <w:trPr>
          <w:cantSplit/>
        </w:trPr>
        <w:tc>
          <w:tcPr>
            <w:tcW w:type="dxa" w:w="1514"/>
          </w:tcPr>
          <w:p>
            <w:pPr>
              <w:spacing w:before="20" w:after="20"/>
            </w:pPr>
            <w:r/>
            <w:r>
              <w:rPr>
                <w:rFonts w:ascii="Verdana" w:hAnsi="Verdana"/>
                <w:b w:val="0"/>
                <w:sz w:val="16"/>
              </w:rPr>
              <w:t>0 01 005</w:t>
            </w:r>
          </w:p>
        </w:tc>
        <w:tc>
          <w:tcPr>
            <w:tcW w:type="dxa" w:w="1514"/>
          </w:tcPr>
          <w:p>
            <w:pPr>
              <w:spacing w:before="20" w:after="20"/>
            </w:pPr>
            <w:r/>
            <w:r>
              <w:rPr>
                <w:rFonts w:ascii="Verdana" w:hAnsi="Verdana"/>
                <w:b w:val="0"/>
                <w:sz w:val="16"/>
              </w:rPr>
              <w:t>Identificador de boya/plataforma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0 01 006</w:t>
            </w:r>
          </w:p>
        </w:tc>
        <w:tc>
          <w:tcPr>
            <w:tcW w:type="dxa" w:w="1514"/>
          </w:tcPr>
          <w:p>
            <w:pPr>
              <w:spacing w:before="20" w:after="20"/>
            </w:pPr>
            <w:r/>
            <w:r>
              <w:rPr>
                <w:rFonts w:ascii="Verdana" w:hAnsi="Verdana"/>
                <w:b w:val="0"/>
                <w:sz w:val="16"/>
              </w:rPr>
              <w:t>Número de vuelo de aeronave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0 01 007</w:t>
            </w:r>
          </w:p>
        </w:tc>
        <w:tc>
          <w:tcPr>
            <w:tcW w:type="dxa" w:w="1514"/>
          </w:tcPr>
          <w:p>
            <w:pPr>
              <w:spacing w:before="20" w:after="20"/>
            </w:pPr>
            <w:r/>
            <w:r>
              <w:rPr>
                <w:rFonts w:ascii="Verdana" w:hAnsi="Verdana"/>
                <w:b w:val="0"/>
                <w:sz w:val="16"/>
              </w:rPr>
              <w:t>Identificador del satélite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0 01 008</w:t>
            </w:r>
          </w:p>
        </w:tc>
        <w:tc>
          <w:tcPr>
            <w:tcW w:type="dxa" w:w="1514"/>
          </w:tcPr>
          <w:p>
            <w:pPr>
              <w:spacing w:before="20" w:after="20"/>
            </w:pPr>
            <w:r/>
            <w:r>
              <w:rPr>
                <w:rFonts w:ascii="Verdana" w:hAnsi="Verdana"/>
                <w:b w:val="0"/>
                <w:sz w:val="16"/>
              </w:rPr>
              <w:t>Número de matrícula de aeronave u otra identificación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0 01 009</w:t>
            </w:r>
          </w:p>
        </w:tc>
        <w:tc>
          <w:tcPr>
            <w:tcW w:type="dxa" w:w="1514"/>
          </w:tcPr>
          <w:p>
            <w:pPr>
              <w:spacing w:before="20" w:after="20"/>
            </w:pPr>
            <w:r/>
            <w:r>
              <w:rPr>
                <w:rFonts w:ascii="Verdana" w:hAnsi="Verdana"/>
                <w:b w:val="0"/>
                <w:sz w:val="16"/>
              </w:rPr>
              <w:t>Tipo de avión comercial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0 01 010</w:t>
            </w:r>
          </w:p>
        </w:tc>
        <w:tc>
          <w:tcPr>
            <w:tcW w:type="dxa" w:w="1514"/>
          </w:tcPr>
          <w:p>
            <w:pPr>
              <w:spacing w:before="20" w:after="20"/>
            </w:pPr>
            <w:r/>
            <w:r>
              <w:rPr>
                <w:rFonts w:ascii="Verdana" w:hAnsi="Verdana"/>
                <w:b w:val="0"/>
                <w:sz w:val="16"/>
              </w:rPr>
              <w:t>Identificador de boya/plataforma estacionaria; por ejemplo, boyas C-MAN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0 01 011</w:t>
            </w:r>
          </w:p>
        </w:tc>
        <w:tc>
          <w:tcPr>
            <w:tcW w:type="dxa" w:w="1514"/>
          </w:tcPr>
          <w:p>
            <w:pPr>
              <w:spacing w:before="20" w:after="20"/>
            </w:pPr>
            <w:r/>
            <w:r>
              <w:rPr>
                <w:rFonts w:ascii="Verdana" w:hAnsi="Verdana"/>
                <w:b w:val="0"/>
                <w:sz w:val="16"/>
              </w:rPr>
              <w:t>Identificación del buque o de la estación terrestre móvil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0 01 012</w:t>
            </w:r>
          </w:p>
        </w:tc>
        <w:tc>
          <w:tcPr>
            <w:tcW w:type="dxa" w:w="1514"/>
          </w:tcPr>
          <w:p>
            <w:pPr>
              <w:spacing w:before="20" w:after="20"/>
            </w:pPr>
            <w:r/>
            <w:r>
              <w:rPr>
                <w:rFonts w:ascii="Verdana" w:hAnsi="Verdana"/>
                <w:b w:val="0"/>
                <w:sz w:val="16"/>
              </w:rPr>
              <w:t>Dirección del movimiento de la plataforma de observación</w:t>
            </w:r>
          </w:p>
        </w:tc>
        <w:tc>
          <w:tcPr>
            <w:tcW w:type="dxa" w:w="1514"/>
          </w:tcPr>
          <w:p>
            <w:pPr>
              <w:spacing w:before="20" w:after="20"/>
            </w:pPr>
            <w:r/>
            <w:r>
              <w:rPr>
                <w:rFonts w:ascii="Verdana" w:hAnsi="Verdana"/>
                <w:sz w:val="16"/>
              </w:rPr>
              <w:t>grado verdadero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grado verdadero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125: La posición fija de un buque se indicará mediante el descriptor 0 01 012 establecido en 0 y el descriptor 0 01 013 establecido en 0. La ruta de un buque desconocido (D s = 9) se indicará mediante 0 01 012 establecido en 509. I.2 – BUFR/CREX Tabla B/01 – 8 | Note 60: El período de tiempo indica la duración en minutos respecto de la que se han promediado las mediciones. El fin del período de tiempo está marcado por el fin del barrido (véase más arriba).</w:t>
            </w:r>
          </w:p>
        </w:tc>
      </w:tr>
      <w:tr>
        <w:trPr>
          <w:cantSplit/>
        </w:trPr>
        <w:tc>
          <w:tcPr>
            <w:tcW w:type="dxa" w:w="1514"/>
          </w:tcPr>
          <w:p>
            <w:pPr>
              <w:spacing w:before="20" w:after="20"/>
            </w:pPr>
            <w:r/>
            <w:r>
              <w:rPr>
                <w:rFonts w:ascii="Verdana" w:hAnsi="Verdana"/>
                <w:b w:val="0"/>
                <w:sz w:val="16"/>
              </w:rPr>
              <w:t>0 01 013</w:t>
            </w:r>
          </w:p>
        </w:tc>
        <w:tc>
          <w:tcPr>
            <w:tcW w:type="dxa" w:w="1514"/>
          </w:tcPr>
          <w:p>
            <w:pPr>
              <w:spacing w:before="20" w:after="20"/>
            </w:pPr>
            <w:r/>
            <w:r>
              <w:rPr>
                <w:rFonts w:ascii="Verdana" w:hAnsi="Verdana"/>
                <w:b w:val="0"/>
                <w:sz w:val="16"/>
              </w:rPr>
              <w:t>Velocidad del movimiento de la plataforma de observación</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60: El período de tiempo indica la duración en minutos respecto de la que se han promediado las mediciones. El fin del período de tiempo está marcado por el fin del barrido (véase más arriba). | Note 125: La posición fija de un buque se indicará mediante el descriptor 0 01 012 establecido en 0 y el descriptor 0 01 013 establecido en 0. La ruta de un buque desconocido (D s = 9) se indicará mediante 0 01 012 establecido en 509. I.2 – BUFR/CREX Tabla B/01 – 8</w:t>
            </w:r>
          </w:p>
        </w:tc>
      </w:tr>
      <w:tr>
        <w:trPr>
          <w:cantSplit/>
        </w:trPr>
        <w:tc>
          <w:tcPr>
            <w:tcW w:type="dxa" w:w="1514"/>
          </w:tcPr>
          <w:p>
            <w:pPr>
              <w:spacing w:before="20" w:after="20"/>
            </w:pPr>
            <w:r/>
            <w:r>
              <w:rPr>
                <w:rFonts w:ascii="Verdana" w:hAnsi="Verdana"/>
                <w:b w:val="0"/>
                <w:sz w:val="16"/>
              </w:rPr>
              <w:t>0 01 014</w:t>
            </w:r>
          </w:p>
        </w:tc>
        <w:tc>
          <w:tcPr>
            <w:tcW w:type="dxa" w:w="1514"/>
          </w:tcPr>
          <w:p>
            <w:pPr>
              <w:spacing w:before="20" w:after="20"/>
            </w:pPr>
            <w:r/>
            <w:r>
              <w:rPr>
                <w:rFonts w:ascii="Verdana" w:hAnsi="Verdana"/>
                <w:b w:val="0"/>
                <w:sz w:val="16"/>
              </w:rPr>
              <w:t>Velocidad de deriva de la plataforma (alta precisión)</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0 01 015</w:t>
            </w:r>
          </w:p>
        </w:tc>
        <w:tc>
          <w:tcPr>
            <w:tcW w:type="dxa" w:w="1514"/>
          </w:tcPr>
          <w:p>
            <w:pPr>
              <w:spacing w:before="20" w:after="20"/>
            </w:pPr>
            <w:r/>
            <w:r>
              <w:rPr>
                <w:rFonts w:ascii="Verdana" w:hAnsi="Verdana"/>
                <w:b w:val="0"/>
                <w:sz w:val="16"/>
              </w:rPr>
              <w:t>Nombre de la estación o emplazamiento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0 01 018</w:t>
            </w:r>
          </w:p>
        </w:tc>
        <w:tc>
          <w:tcPr>
            <w:tcW w:type="dxa" w:w="1514"/>
          </w:tcPr>
          <w:p>
            <w:pPr>
              <w:spacing w:before="20" w:after="20"/>
            </w:pPr>
            <w:r/>
            <w:r>
              <w:rPr>
                <w:rFonts w:ascii="Verdana" w:hAnsi="Verdana"/>
                <w:b w:val="0"/>
                <w:sz w:val="16"/>
              </w:rPr>
              <w:t>Nombre abreviado de la estación o emplazamiento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0 01 019</w:t>
            </w:r>
          </w:p>
        </w:tc>
        <w:tc>
          <w:tcPr>
            <w:tcW w:type="dxa" w:w="1514"/>
          </w:tcPr>
          <w:p>
            <w:pPr>
              <w:spacing w:before="20" w:after="20"/>
            </w:pPr>
            <w:r/>
            <w:r>
              <w:rPr>
                <w:rFonts w:ascii="Verdana" w:hAnsi="Verdana"/>
                <w:b w:val="0"/>
                <w:sz w:val="16"/>
              </w:rPr>
              <w:t>Nombre completo de la estación o emplazamiento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0 01 020</w:t>
            </w:r>
          </w:p>
        </w:tc>
        <w:tc>
          <w:tcPr>
            <w:tcW w:type="dxa" w:w="1514"/>
          </w:tcPr>
          <w:p>
            <w:pPr>
              <w:spacing w:before="20" w:after="20"/>
            </w:pPr>
            <w:r/>
            <w:r>
              <w:rPr>
                <w:rFonts w:ascii="Verdana" w:hAnsi="Verdana"/>
                <w:b w:val="0"/>
                <w:sz w:val="16"/>
              </w:rPr>
              <w:t>Subzona de la Región de la OMM</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0 01 021</w:t>
            </w:r>
          </w:p>
        </w:tc>
        <w:tc>
          <w:tcPr>
            <w:tcW w:type="dxa" w:w="1514"/>
          </w:tcPr>
          <w:p>
            <w:pPr>
              <w:spacing w:before="20" w:after="20"/>
            </w:pPr>
            <w:r/>
            <w:r>
              <w:rPr>
                <w:rFonts w:ascii="Verdana" w:hAnsi="Verdana"/>
                <w:b w:val="0"/>
                <w:sz w:val="16"/>
              </w:rPr>
              <w:t>Identificador de la característica sinóptica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0 01 022</w:t>
            </w:r>
          </w:p>
        </w:tc>
        <w:tc>
          <w:tcPr>
            <w:tcW w:type="dxa" w:w="1514"/>
          </w:tcPr>
          <w:p>
            <w:pPr>
              <w:spacing w:before="20" w:after="20"/>
            </w:pPr>
            <w:r/>
            <w:r>
              <w:rPr>
                <w:rFonts w:ascii="Verdana" w:hAnsi="Verdana"/>
                <w:b w:val="0"/>
                <w:sz w:val="16"/>
              </w:rPr>
              <w:t>Nombre de la característica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224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28</w:t>
            </w:r>
          </w:p>
        </w:tc>
        <w:tc>
          <w:tcPr>
            <w:tcW w:type="dxa" w:w="1514"/>
          </w:tcPr>
          <w:p>
            <w:pPr>
              <w:spacing w:before="20" w:after="20"/>
            </w:pPr>
            <w:r/>
            <w:r>
              <w:rPr>
                <w:rFonts w:ascii="Verdana" w:hAnsi="Verdana"/>
                <w:b w:val="0"/>
                <w:sz w:val="16"/>
              </w:rPr>
              <w:t>Note 72: La hora de lanzamiento se notificará con el mayor grado de exactitud posible. Si no se dispone de la hora de lanzamiento con una exactitud de segundos, la entrada para los segundos se fijará en cero.</w:t>
            </w:r>
          </w:p>
        </w:tc>
      </w:tr>
      <w:tr>
        <w:trPr>
          <w:cantSplit/>
        </w:trPr>
        <w:tc>
          <w:tcPr>
            <w:tcW w:type="dxa" w:w="1514"/>
          </w:tcPr>
          <w:p>
            <w:pPr>
              <w:spacing w:before="20" w:after="20"/>
            </w:pPr>
            <w:r/>
            <w:r>
              <w:rPr>
                <w:rFonts w:ascii="Verdana" w:hAnsi="Verdana"/>
                <w:b w:val="0"/>
                <w:sz w:val="16"/>
              </w:rPr>
              <w:t>0 01 023</w:t>
            </w:r>
          </w:p>
        </w:tc>
        <w:tc>
          <w:tcPr>
            <w:tcW w:type="dxa" w:w="1514"/>
          </w:tcPr>
          <w:p>
            <w:pPr>
              <w:spacing w:before="20" w:after="20"/>
            </w:pPr>
            <w:r/>
            <w:r>
              <w:rPr>
                <w:rFonts w:ascii="Verdana" w:hAnsi="Verdana"/>
                <w:b w:val="0"/>
                <w:sz w:val="16"/>
              </w:rPr>
              <w:t>Número de secuencia de observación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0 01 024</w:t>
            </w:r>
          </w:p>
        </w:tc>
        <w:tc>
          <w:tcPr>
            <w:tcW w:type="dxa" w:w="1514"/>
          </w:tcPr>
          <w:p>
            <w:pPr>
              <w:spacing w:before="20" w:after="20"/>
            </w:pPr>
            <w:r/>
            <w:r>
              <w:rPr>
                <w:rFonts w:ascii="Verdana" w:hAnsi="Verdana"/>
                <w:b w:val="0"/>
                <w:sz w:val="16"/>
              </w:rPr>
              <w:t>Fuente de la velocidad del viento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0 01 025</w:t>
            </w:r>
          </w:p>
        </w:tc>
        <w:tc>
          <w:tcPr>
            <w:tcW w:type="dxa" w:w="1514"/>
          </w:tcPr>
          <w:p>
            <w:pPr>
              <w:spacing w:before="20" w:after="20"/>
            </w:pPr>
            <w:r/>
            <w:r>
              <w:rPr>
                <w:rFonts w:ascii="Verdana" w:hAnsi="Verdana"/>
                <w:b w:val="0"/>
                <w:sz w:val="16"/>
              </w:rPr>
              <w:t>Identificador de tormenta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148: El identificador de tormenta (descriptor 0 01 025) tiene este significado: los dos primeros caracteres serán un número de secuencia numérica asignado por el originador del mensaje; el tercer carácter será una letra que indica la cuenca oceánica donde está situada la tormenta, de la forma siguiente: W Noroeste del océano Pacífico E Noreste del océano Pacífico, hasta el meridiano 140° W C Noreste del océano Pacífico, entre los meridianos 140° W y 180° W L Norte del océano Atlántico, incluidos el mar Caribe y el golfo de México A Norte del mar Arábigo B Golfo de Bengala S Sur del océano Índico P Sur del océano Pacífico F CMRE en el área de Nadi en el Pacífico Sur U Australia O Mar de China meridional T Mar de China oriental No es necesario que los diversos observadores coordinen los números de secuencia, a pesar de que ellos pueden comunicar la misma tormenta.</w:t>
            </w:r>
          </w:p>
        </w:tc>
      </w:tr>
      <w:tr>
        <w:trPr>
          <w:cantSplit/>
        </w:trPr>
        <w:tc>
          <w:tcPr>
            <w:tcW w:type="dxa" w:w="1514"/>
          </w:tcPr>
          <w:p>
            <w:pPr>
              <w:spacing w:before="20" w:after="20"/>
            </w:pPr>
            <w:r/>
            <w:r>
              <w:rPr>
                <w:rFonts w:ascii="Verdana" w:hAnsi="Verdana"/>
                <w:b w:val="0"/>
                <w:sz w:val="16"/>
              </w:rPr>
              <w:t>0 01 026</w:t>
            </w:r>
          </w:p>
        </w:tc>
        <w:tc>
          <w:tcPr>
            <w:tcW w:type="dxa" w:w="1514"/>
          </w:tcPr>
          <w:p>
            <w:pPr>
              <w:spacing w:before="20" w:after="20"/>
            </w:pPr>
            <w:r/>
            <w:r>
              <w:rPr>
                <w:rFonts w:ascii="Verdana" w:hAnsi="Verdana"/>
                <w:b w:val="0"/>
                <w:sz w:val="16"/>
              </w:rPr>
              <w:t>Nombre OMM de la tormenta+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43: La separación de datos satelitales de nivel único en serie de mensajes BUFR ayuda a la compresión y aumenta la eficacia de la transmisión y el almacenamiento de datos.</w:t>
            </w:r>
          </w:p>
        </w:tc>
      </w:tr>
      <w:tr>
        <w:trPr>
          <w:cantSplit/>
        </w:trPr>
        <w:tc>
          <w:tcPr>
            <w:tcW w:type="dxa" w:w="1514"/>
          </w:tcPr>
          <w:p>
            <w:pPr>
              <w:spacing w:before="20" w:after="20"/>
            </w:pPr>
            <w:r/>
            <w:r>
              <w:rPr>
                <w:rFonts w:ascii="Verdana" w:hAnsi="Verdana"/>
                <w:b w:val="0"/>
                <w:sz w:val="16"/>
              </w:rPr>
              <w:t>0 01 027</w:t>
            </w:r>
          </w:p>
        </w:tc>
        <w:tc>
          <w:tcPr>
            <w:tcW w:type="dxa" w:w="1514"/>
          </w:tcPr>
          <w:p>
            <w:pPr>
              <w:spacing w:before="20" w:after="20"/>
            </w:pPr>
            <w:r/>
            <w:r>
              <w:rPr>
                <w:rFonts w:ascii="Verdana" w:hAnsi="Verdana"/>
                <w:b w:val="0"/>
                <w:sz w:val="16"/>
              </w:rPr>
              <w:t>Nombre OMM completo de la tormenta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182: Nombre OMM de tormenta (descriptor 0 01 027): el nombre de la tormenta “NAMELESS” se utilizará en los casos en los que una perturbación tropical identificable no haya alcanzado la fuerza de tormenta tropical y no se le haya asignado un nombre oficial.</w:t>
            </w:r>
          </w:p>
        </w:tc>
      </w:tr>
      <w:tr>
        <w:trPr>
          <w:cantSplit/>
        </w:trPr>
        <w:tc>
          <w:tcPr>
            <w:tcW w:type="dxa" w:w="1514"/>
          </w:tcPr>
          <w:p>
            <w:pPr>
              <w:spacing w:before="20" w:after="20"/>
            </w:pPr>
            <w:r/>
            <w:r>
              <w:rPr>
                <w:rFonts w:ascii="Verdana" w:hAnsi="Verdana"/>
                <w:b w:val="0"/>
                <w:sz w:val="16"/>
              </w:rPr>
              <w:t>0 01 028</w:t>
            </w:r>
          </w:p>
        </w:tc>
        <w:tc>
          <w:tcPr>
            <w:tcW w:type="dxa" w:w="1514"/>
          </w:tcPr>
          <w:p>
            <w:pPr>
              <w:spacing w:before="20" w:after="20"/>
            </w:pPr>
            <w:r/>
            <w:r>
              <w:rPr>
                <w:rFonts w:ascii="Verdana" w:hAnsi="Verdana"/>
                <w:b w:val="0"/>
                <w:sz w:val="16"/>
              </w:rPr>
              <w:t>Fuente del espesor óptico de los aerosoles (EOA)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0 01 029</w:t>
            </w:r>
          </w:p>
        </w:tc>
        <w:tc>
          <w:tcPr>
            <w:tcW w:type="dxa" w:w="1514"/>
          </w:tcPr>
          <w:p>
            <w:pPr>
              <w:spacing w:before="20" w:after="20"/>
            </w:pPr>
            <w:r/>
            <w:r>
              <w:rPr>
                <w:rFonts w:ascii="Verdana" w:hAnsi="Verdana"/>
                <w:b w:val="0"/>
                <w:sz w:val="16"/>
              </w:rPr>
              <w:t>Fuente de la ISS*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0 01 030</w:t>
            </w:r>
          </w:p>
        </w:tc>
        <w:tc>
          <w:tcPr>
            <w:tcW w:type="dxa" w:w="1514"/>
          </w:tcPr>
          <w:p>
            <w:pPr>
              <w:spacing w:before="20" w:after="20"/>
            </w:pPr>
            <w:r/>
            <w:r>
              <w:rPr>
                <w:rFonts w:ascii="Verdana" w:hAnsi="Verdana"/>
                <w:b w:val="0"/>
                <w:sz w:val="16"/>
              </w:rPr>
              <w:t>Identificación del modelo numérico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Note 153: El valor de este elemento podría ser una serie de caracteres que contiene el nombre del modelo y otros elementos útiles tales como la malla del modelo.</w:t>
            </w:r>
          </w:p>
        </w:tc>
      </w:tr>
      <w:tr>
        <w:trPr>
          <w:cantSplit/>
        </w:trPr>
        <w:tc>
          <w:tcPr>
            <w:tcW w:type="dxa" w:w="1514"/>
          </w:tcPr>
          <w:p>
            <w:pPr>
              <w:spacing w:before="20" w:after="20"/>
            </w:pPr>
            <w:r/>
            <w:r>
              <w:rPr>
                <w:rFonts w:ascii="Verdana" w:hAnsi="Verdana"/>
                <w:b w:val="0"/>
                <w:sz w:val="16"/>
              </w:rPr>
              <w:t>0 01 031</w:t>
            </w:r>
          </w:p>
        </w:tc>
        <w:tc>
          <w:tcPr>
            <w:tcW w:type="dxa" w:w="1514"/>
          </w:tcPr>
          <w:p>
            <w:pPr>
              <w:spacing w:before="20" w:after="20"/>
            </w:pPr>
            <w:r/>
            <w:r>
              <w:rPr>
                <w:rFonts w:ascii="Verdana" w:hAnsi="Verdana"/>
                <w:b w:val="0"/>
                <w:sz w:val="16"/>
              </w:rPr>
              <w:t>Identificación del centro de origen/ generación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1514"/>
          </w:tcPr>
          <w:p>
            <w:pPr>
              <w:spacing w:before="20" w:after="20"/>
            </w:pPr>
            <w:r/>
            <w:r>
              <w:rPr>
                <w:rFonts w:ascii="Verdana" w:hAnsi="Verdana"/>
                <w:b w:val="0"/>
                <w:sz w:val="16"/>
              </w:rPr>
              <w:t>0 01 032</w:t>
            </w:r>
          </w:p>
        </w:tc>
        <w:tc>
          <w:tcPr>
            <w:tcW w:type="dxa" w:w="1514"/>
          </w:tcPr>
          <w:p>
            <w:pPr>
              <w:spacing w:before="20" w:after="20"/>
            </w:pPr>
            <w:r/>
            <w:r>
              <w:rPr>
                <w:rFonts w:ascii="Verdana" w:hAnsi="Verdana"/>
                <w:b w:val="0"/>
                <w:sz w:val="16"/>
              </w:rPr>
              <w:t>Aplicación de producción definida por el centro de origen/generación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175: Cuando un centro, que no sea el centro de origen, genere información de calidad, valores de reemplazo o sustitución, y/o información estadística, podrá indicarse el centro utilizando el descriptor 0 01 033. | Note 21: La dirección de desplazamiento del frente debe indicarse siempre, puesto que es necesaria para el trazado de los mapas. Una velocidad de desplazamiento del frente igual a cero indicaría un frente lento. En la tabla de cifrado existe un valor para representar un frente casi estacionario. | Note 38: n/a</w:t>
            </w:r>
          </w:p>
        </w:tc>
      </w:tr>
      <w:tr>
        <w:trPr>
          <w:cantSplit/>
        </w:trPr>
        <w:tc>
          <w:tcPr>
            <w:tcW w:type="dxa" w:w="1514"/>
          </w:tcPr>
          <w:p>
            <w:pPr>
              <w:spacing w:before="20" w:after="20"/>
            </w:pPr>
            <w:r/>
            <w:r>
              <w:rPr>
                <w:rFonts w:ascii="Verdana" w:hAnsi="Verdana"/>
                <w:b w:val="0"/>
                <w:sz w:val="16"/>
              </w:rPr>
              <w:t>0 01 033</w:t>
            </w:r>
          </w:p>
        </w:tc>
        <w:tc>
          <w:tcPr>
            <w:tcW w:type="dxa" w:w="1514"/>
          </w:tcPr>
          <w:p>
            <w:pPr>
              <w:spacing w:before="20" w:after="20"/>
            </w:pPr>
            <w:r/>
            <w:r>
              <w:rPr>
                <w:rFonts w:ascii="Verdana" w:hAnsi="Verdana"/>
                <w:b w:val="0"/>
                <w:sz w:val="16"/>
              </w:rPr>
              <w:t>Identificación del centro de origen/ generación</w:t>
            </w:r>
          </w:p>
        </w:tc>
        <w:tc>
          <w:tcPr>
            <w:tcW w:type="dxa" w:w="1514"/>
          </w:tcPr>
          <w:p>
            <w:pPr>
              <w:spacing w:before="20" w:after="20"/>
            </w:pPr>
            <w:r/>
            <w:r>
              <w:rPr>
                <w:rFonts w:ascii="Verdana" w:hAnsi="Verdana"/>
                <w:sz w:val="16"/>
              </w:rPr>
              <w:t>Tabla de cifrado común C-1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 común C-1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0 01 034</w:t>
            </w:r>
          </w:p>
        </w:tc>
        <w:tc>
          <w:tcPr>
            <w:tcW w:type="dxa" w:w="1514"/>
          </w:tcPr>
          <w:p>
            <w:pPr>
              <w:spacing w:before="20" w:after="20"/>
            </w:pPr>
            <w:r/>
            <w:r>
              <w:rPr>
                <w:rFonts w:ascii="Verdana" w:hAnsi="Verdana"/>
                <w:b w:val="0"/>
                <w:sz w:val="16"/>
              </w:rPr>
              <w:t>Identificación del centro secundario de origen/generación</w:t>
            </w:r>
          </w:p>
        </w:tc>
        <w:tc>
          <w:tcPr>
            <w:tcW w:type="dxa" w:w="1514"/>
          </w:tcPr>
          <w:p>
            <w:pPr>
              <w:spacing w:before="20" w:after="20"/>
            </w:pPr>
            <w:r/>
            <w:r>
              <w:rPr>
                <w:rFonts w:ascii="Verdana" w:hAnsi="Verdana"/>
                <w:sz w:val="16"/>
              </w:rPr>
              <w:t>Tabla de cifrado común C-12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 común C-12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0 01 035</w:t>
            </w:r>
          </w:p>
        </w:tc>
        <w:tc>
          <w:tcPr>
            <w:tcW w:type="dxa" w:w="1514"/>
          </w:tcPr>
          <w:p>
            <w:pPr>
              <w:spacing w:before="20" w:after="20"/>
            </w:pPr>
            <w:r/>
            <w:r>
              <w:rPr>
                <w:rFonts w:ascii="Verdana" w:hAnsi="Verdana"/>
                <w:b w:val="0"/>
                <w:sz w:val="16"/>
              </w:rPr>
              <w:t>Centro de origen/producción</w:t>
            </w:r>
          </w:p>
        </w:tc>
        <w:tc>
          <w:tcPr>
            <w:tcW w:type="dxa" w:w="1514"/>
          </w:tcPr>
          <w:p>
            <w:pPr>
              <w:spacing w:before="20" w:after="20"/>
            </w:pPr>
            <w:r/>
            <w:r>
              <w:rPr>
                <w:rFonts w:ascii="Verdana" w:hAnsi="Verdana"/>
                <w:sz w:val="16"/>
              </w:rPr>
              <w:t>Tabla de cifrado común C-11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Tabla de cifrado común C-11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0 01 036</w:t>
            </w:r>
          </w:p>
        </w:tc>
        <w:tc>
          <w:tcPr>
            <w:tcW w:type="dxa" w:w="1514"/>
          </w:tcPr>
          <w:p>
            <w:pPr>
              <w:spacing w:before="20" w:after="20"/>
            </w:pPr>
            <w:r/>
            <w:r>
              <w:rPr>
                <w:rFonts w:ascii="Verdana" w:hAnsi="Verdana"/>
                <w:b w:val="0"/>
                <w:sz w:val="16"/>
              </w:rPr>
              <w:t>Organismo encargado de operar la plataforma de observación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0 01 037</w:t>
            </w:r>
          </w:p>
        </w:tc>
        <w:tc>
          <w:tcPr>
            <w:tcW w:type="dxa" w:w="1514"/>
          </w:tcPr>
          <w:p>
            <w:pPr>
              <w:spacing w:before="20" w:after="20"/>
            </w:pPr>
            <w:r/>
            <w:r>
              <w:rPr>
                <w:rFonts w:ascii="Verdana" w:hAnsi="Verdana"/>
                <w:b w:val="0"/>
                <w:sz w:val="16"/>
              </w:rPr>
              <w:t>Identificador de la secuencia SIGMET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0 01 038</w:t>
            </w:r>
          </w:p>
        </w:tc>
        <w:tc>
          <w:tcPr>
            <w:tcW w:type="dxa" w:w="1514"/>
          </w:tcPr>
          <w:p>
            <w:pPr>
              <w:spacing w:before="20" w:after="20"/>
            </w:pPr>
            <w:r/>
            <w:r>
              <w:rPr>
                <w:rFonts w:ascii="Verdana" w:hAnsi="Verdana"/>
                <w:b w:val="0"/>
                <w:sz w:val="16"/>
              </w:rPr>
              <w:t>Fuente de la fracción de hielo marino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0 01 039</w:t>
            </w:r>
          </w:p>
        </w:tc>
        <w:tc>
          <w:tcPr>
            <w:tcW w:type="dxa" w:w="1514"/>
          </w:tcPr>
          <w:p>
            <w:pPr>
              <w:spacing w:before="20" w:after="20"/>
            </w:pPr>
            <w:r/>
            <w:r>
              <w:rPr>
                <w:rFonts w:ascii="Verdana" w:hAnsi="Verdana"/>
                <w:b w:val="0"/>
                <w:sz w:val="16"/>
              </w:rPr>
              <w:t>Identificador de secuencia de predicción gráfica de área (GFA)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0 01 040</w:t>
            </w:r>
          </w:p>
        </w:tc>
        <w:tc>
          <w:tcPr>
            <w:tcW w:type="dxa" w:w="1514"/>
          </w:tcPr>
          <w:p>
            <w:pPr>
              <w:spacing w:before="20" w:after="20"/>
            </w:pPr>
            <w:r/>
            <w:r>
              <w:rPr>
                <w:rFonts w:ascii="Verdana" w:hAnsi="Verdana"/>
                <w:b w:val="0"/>
                <w:sz w:val="16"/>
              </w:rPr>
              <w:t>Código de identificación del centro de procesamiento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0 01 041</w:t>
            </w:r>
          </w:p>
        </w:tc>
        <w:tc>
          <w:tcPr>
            <w:tcW w:type="dxa" w:w="1514"/>
          </w:tcPr>
          <w:p>
            <w:pPr>
              <w:spacing w:before="20" w:after="20"/>
            </w:pPr>
            <w:r/>
            <w:r>
              <w:rPr>
                <w:rFonts w:ascii="Verdana" w:hAnsi="Verdana"/>
                <w:b w:val="0"/>
                <w:sz w:val="16"/>
              </w:rPr>
              <w:t>Velocidad absoluta de la plataforma – primer componente</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Los componentes de la velocidad absoluta de la plataforma (0 01 041, 0 01 042, 0 01 043) se definen de la manera siguiente: – Primer componente: desde el centro de la Tierra hasta 0 grados de longitud en el ecuador: velocidad de la plataforma a lo largo de esta línea con relación al centro de la Tierra. – Segundo componente: desde el centro de la Tierra hasta 90 grados de longitud Este en el ecuador: velocidad de la plataforma a lo largo de esta línea con relación al centro de la Tierra. – Tercer componente: desde el centro de la Tierra hasta el Polo Norte: velocidad de la plataforma a lo largo de esta línea con relación al centro de la Tierra. | Note 154: Los valores para los descriptores 0 01 041, 0 01 042 y 0 01 043 han sido seleccionados para que convengan a satélites en órbita polar en órbitas aproximadamente heliosincrónicas. Las órbitas geoestacionarias requerirían una anchura de datos mayor para la distancia y ligeramente menor para la velocidad. | Note 95: Para los descriptores 0 01 041, 0 01 042 y 0 01 043 se han escogido ejes x, y, y z negativos.</w:t>
            </w:r>
          </w:p>
        </w:tc>
      </w:tr>
      <w:tr>
        <w:trPr>
          <w:cantSplit/>
        </w:trPr>
        <w:tc>
          <w:tcPr>
            <w:tcW w:type="dxa" w:w="1514"/>
          </w:tcPr>
          <w:p>
            <w:pPr>
              <w:spacing w:before="20" w:after="20"/>
            </w:pPr>
            <w:r/>
            <w:r>
              <w:rPr>
                <w:rFonts w:ascii="Verdana" w:hAnsi="Verdana"/>
                <w:b w:val="0"/>
                <w:sz w:val="16"/>
              </w:rPr>
              <w:t>0 01 042</w:t>
            </w:r>
          </w:p>
        </w:tc>
        <w:tc>
          <w:tcPr>
            <w:tcW w:type="dxa" w:w="1514"/>
          </w:tcPr>
          <w:p>
            <w:pPr>
              <w:spacing w:before="20" w:after="20"/>
            </w:pPr>
            <w:r/>
            <w:r>
              <w:rPr>
                <w:rFonts w:ascii="Verdana" w:hAnsi="Verdana"/>
                <w:b w:val="0"/>
                <w:sz w:val="16"/>
              </w:rPr>
              <w:t>Velocidad absoluta de la plataforma– segundo componente</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Los componentes de la velocidad absoluta de la plataforma (0 01 041, 0 01 042, 0 01 043) se definen de la manera siguiente: – Primer componente: desde el centro de la Tierra hasta 0 grados de longitud en el ecuador: velocidad de la plataforma a lo largo de esta línea con relación al centro de la Tierra. – Segundo componente: desde el centro de la Tierra hasta 90 grados de longitud Este en el ecuador: velocidad de la plataforma a lo largo de esta línea con relación al centro de la Tierra. – Tercer componente: desde el centro de la Tierra hasta el Polo Norte: velocidad de la plataforma a lo largo de esta línea con relación al centro de la Tierra. | Note 154: Los valores para los descriptores 0 01 041, 0 01 042 y 0 01 043 han sido seleccionados para que convengan a satélites en órbita polar en órbitas aproximadamente heliosincrónicas. Las órbitas geoestacionarias requerirían una anchura de datos mayor para la distancia y ligeramente menor para la velocidad. | Note 95: Para los descriptores 0 01 041, 0 01 042 y 0 01 043 se han escogido ejes x, y, y z negativos.</w:t>
            </w:r>
          </w:p>
        </w:tc>
      </w:tr>
      <w:tr>
        <w:trPr>
          <w:cantSplit/>
        </w:trPr>
        <w:tc>
          <w:tcPr>
            <w:tcW w:type="dxa" w:w="1514"/>
          </w:tcPr>
          <w:p>
            <w:pPr>
              <w:spacing w:before="20" w:after="20"/>
            </w:pPr>
            <w:r/>
            <w:r>
              <w:rPr>
                <w:rFonts w:ascii="Verdana" w:hAnsi="Verdana"/>
                <w:b w:val="0"/>
                <w:sz w:val="16"/>
              </w:rPr>
              <w:t>0 01 043</w:t>
            </w:r>
          </w:p>
        </w:tc>
        <w:tc>
          <w:tcPr>
            <w:tcW w:type="dxa" w:w="1514"/>
          </w:tcPr>
          <w:p>
            <w:pPr>
              <w:spacing w:before="20" w:after="20"/>
            </w:pPr>
            <w:r/>
            <w:r>
              <w:rPr>
                <w:rFonts w:ascii="Verdana" w:hAnsi="Verdana"/>
                <w:b w:val="0"/>
                <w:sz w:val="16"/>
              </w:rPr>
              <w:t>Velocidad absoluta de la plataforma – tercer componente</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Los componentes de la velocidad absoluta de la plataforma (0 01 041, 0 01 042, 0 01 043) se definen de la manera siguiente: – Primer componente: desde el centro de la Tierra hasta 0 grados de longitud en el ecuador: velocidad de la plataforma a lo largo de esta línea con relación al centro de la Tierra. – Segundo componente: desde el centro de la Tierra hasta 90 grados de longitud Este en el ecuador: velocidad de la plataforma a lo largo de esta línea con relación al centro de la Tierra. – Tercer componente: desde el centro de la Tierra hasta el Polo Norte: velocidad de la plataforma a lo largo de esta línea con relación al centro de la Tierra. | Note 154: Los valores para los descriptores 0 01 041, 0 01 042 y 0 01 043 han sido seleccionados para que convengan a satélites en órbita polar en órbitas aproximadamente heliosincrónicas. Las órbitas geoestacionarias requerirían una anchura de datos mayor para la distancia y ligeramente menor para la velocidad. | Note 95: Para los descriptores 0 01 041, 0 01 042 y 0 01 043 se han escogido ejes x, y, y z negativos.</w:t>
            </w:r>
          </w:p>
        </w:tc>
      </w:tr>
      <w:tr>
        <w:trPr>
          <w:cantSplit/>
        </w:trPr>
        <w:tc>
          <w:tcPr>
            <w:tcW w:type="dxa" w:w="1514"/>
          </w:tcPr>
          <w:p>
            <w:pPr>
              <w:spacing w:before="20" w:after="20"/>
            </w:pPr>
            <w:r/>
            <w:r>
              <w:rPr>
                <w:rFonts w:ascii="Verdana" w:hAnsi="Verdana"/>
                <w:b w:val="0"/>
                <w:sz w:val="16"/>
              </w:rPr>
              <w:t>0 01 044</w:t>
            </w:r>
          </w:p>
        </w:tc>
        <w:tc>
          <w:tcPr>
            <w:tcW w:type="dxa" w:w="1514"/>
          </w:tcPr>
          <w:p>
            <w:pPr>
              <w:spacing w:before="20" w:after="20"/>
            </w:pPr>
            <w:r/>
            <w:r>
              <w:rPr>
                <w:rFonts w:ascii="Verdana" w:hAnsi="Verdana"/>
                <w:b w:val="0"/>
                <w:sz w:val="16"/>
              </w:rPr>
              <w:t>Aplicación de producción estándar</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0 01 050</w:t>
            </w:r>
          </w:p>
        </w:tc>
        <w:tc>
          <w:tcPr>
            <w:tcW w:type="dxa" w:w="1514"/>
          </w:tcPr>
          <w:p>
            <w:pPr>
              <w:spacing w:before="20" w:after="20"/>
            </w:pPr>
            <w:r/>
            <w:r>
              <w:rPr>
                <w:rFonts w:ascii="Verdana" w:hAnsi="Verdana"/>
                <w:b w:val="0"/>
                <w:sz w:val="16"/>
              </w:rPr>
              <w:t>Número de identificación del transmisor de la plataforma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0 01 051</w:t>
            </w:r>
          </w:p>
        </w:tc>
        <w:tc>
          <w:tcPr>
            <w:tcW w:type="dxa" w:w="1514"/>
          </w:tcPr>
          <w:p>
            <w:pPr>
              <w:spacing w:before="20" w:after="20"/>
            </w:pPr>
            <w:r/>
            <w:r>
              <w:rPr>
                <w:rFonts w:ascii="Verdana" w:hAnsi="Verdana"/>
                <w:b w:val="0"/>
                <w:sz w:val="16"/>
              </w:rPr>
              <w:t>Número de identificación del transmisor de la plataforma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0 01 052</w:t>
            </w:r>
          </w:p>
        </w:tc>
        <w:tc>
          <w:tcPr>
            <w:tcW w:type="dxa" w:w="1514"/>
          </w:tcPr>
          <w:p>
            <w:pPr>
              <w:spacing w:before="20" w:after="20"/>
            </w:pPr>
            <w:r/>
            <w:r>
              <w:rPr>
                <w:rFonts w:ascii="Verdana" w:hAnsi="Verdana"/>
                <w:b w:val="0"/>
                <w:sz w:val="16"/>
              </w:rPr>
              <w:t>Identificación del transmisor de la plataforma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0 01 053</w:t>
            </w:r>
          </w:p>
        </w:tc>
        <w:tc>
          <w:tcPr>
            <w:tcW w:type="dxa" w:w="1514"/>
          </w:tcPr>
          <w:p>
            <w:pPr>
              <w:spacing w:before="20" w:after="20"/>
            </w:pPr>
            <w:r/>
            <w:r>
              <w:rPr>
                <w:rFonts w:ascii="Verdana" w:hAnsi="Verdana"/>
                <w:b w:val="0"/>
                <w:sz w:val="16"/>
              </w:rPr>
              <w:t>Número de secuencia del informe de tsunámetro desencadenado por un suceso de tsunami</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0 01 060</w:t>
            </w:r>
          </w:p>
        </w:tc>
        <w:tc>
          <w:tcPr>
            <w:tcW w:type="dxa" w:w="1514"/>
          </w:tcPr>
          <w:p>
            <w:pPr>
              <w:spacing w:before="20" w:after="20"/>
            </w:pPr>
            <w:r/>
            <w:r>
              <w:rPr>
                <w:rFonts w:ascii="Verdana" w:hAnsi="Verdana"/>
                <w:b w:val="0"/>
                <w:sz w:val="16"/>
              </w:rPr>
              <w:t>Punto de notificación de la aeronave (identificador Beacon)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0 01 062</w:t>
            </w:r>
          </w:p>
        </w:tc>
        <w:tc>
          <w:tcPr>
            <w:tcW w:type="dxa" w:w="1514"/>
          </w:tcPr>
          <w:p>
            <w:pPr>
              <w:spacing w:before="20" w:after="20"/>
            </w:pPr>
            <w:r/>
            <w:r>
              <w:rPr>
                <w:rFonts w:ascii="Verdana" w:hAnsi="Verdana"/>
                <w:b w:val="0"/>
                <w:sz w:val="16"/>
              </w:rPr>
              <w:t>Indicador de ubicación abreviado de la OACI</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0 01 063</w:t>
            </w:r>
          </w:p>
        </w:tc>
        <w:tc>
          <w:tcPr>
            <w:tcW w:type="dxa" w:w="1514"/>
          </w:tcPr>
          <w:p>
            <w:pPr>
              <w:spacing w:before="20" w:after="20"/>
            </w:pPr>
            <w:r/>
            <w:r>
              <w:rPr>
                <w:rFonts w:ascii="Verdana" w:hAnsi="Verdana"/>
                <w:b w:val="0"/>
                <w:sz w:val="16"/>
              </w:rPr>
              <w:t>Indicador de ubicación de la OACI</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0 01 064</w:t>
            </w:r>
          </w:p>
        </w:tc>
        <w:tc>
          <w:tcPr>
            <w:tcW w:type="dxa" w:w="1514"/>
          </w:tcPr>
          <w:p>
            <w:pPr>
              <w:spacing w:before="20" w:after="20"/>
            </w:pPr>
            <w:r/>
            <w:r>
              <w:rPr>
                <w:rFonts w:ascii="Verdana" w:hAnsi="Verdana"/>
                <w:b w:val="0"/>
                <w:sz w:val="16"/>
              </w:rPr>
              <w:t>Denominador de la pista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0 01 065</w:t>
            </w:r>
          </w:p>
        </w:tc>
        <w:tc>
          <w:tcPr>
            <w:tcW w:type="dxa" w:w="1514"/>
          </w:tcPr>
          <w:p>
            <w:pPr>
              <w:spacing w:before="20" w:after="20"/>
            </w:pPr>
            <w:r/>
            <w:r>
              <w:rPr>
                <w:rFonts w:ascii="Verdana" w:hAnsi="Verdana"/>
                <w:b w:val="0"/>
                <w:sz w:val="16"/>
              </w:rPr>
              <w:t>Identificador de región OACI</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0 01 075</w:t>
            </w:r>
          </w:p>
        </w:tc>
        <w:tc>
          <w:tcPr>
            <w:tcW w:type="dxa" w:w="1514"/>
          </w:tcPr>
          <w:p>
            <w:pPr>
              <w:spacing w:before="20" w:after="20"/>
            </w:pPr>
            <w:r/>
            <w:r>
              <w:rPr>
                <w:rFonts w:ascii="Verdana" w:hAnsi="Verdana"/>
                <w:b w:val="0"/>
                <w:sz w:val="16"/>
              </w:rPr>
              <w:t>Identificación de la estación de observación de mareas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0 01 079</w:t>
            </w:r>
          </w:p>
        </w:tc>
        <w:tc>
          <w:tcPr>
            <w:tcW w:type="dxa" w:w="1514"/>
          </w:tcPr>
          <w:p>
            <w:pPr>
              <w:spacing w:before="20" w:after="20"/>
            </w:pPr>
            <w:r/>
            <w:r>
              <w:rPr>
                <w:rFonts w:ascii="Verdana" w:hAnsi="Verdana"/>
                <w:b w:val="0"/>
                <w:sz w:val="16"/>
              </w:rPr>
              <w:t>Identificador único del perfil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0 01 080</w:t>
            </w:r>
          </w:p>
        </w:tc>
        <w:tc>
          <w:tcPr>
            <w:tcW w:type="dxa" w:w="1514"/>
          </w:tcPr>
          <w:p>
            <w:pPr>
              <w:spacing w:before="20" w:after="20"/>
            </w:pPr>
            <w:r/>
            <w:r>
              <w:rPr>
                <w:rFonts w:ascii="Verdana" w:hAnsi="Verdana"/>
                <w:b w:val="0"/>
                <w:sz w:val="16"/>
              </w:rPr>
              <w:t>Número del buque de línea según el SOOP</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0 01 081</w:t>
            </w:r>
          </w:p>
        </w:tc>
        <w:tc>
          <w:tcPr>
            <w:tcW w:type="dxa" w:w="1514"/>
          </w:tcPr>
          <w:p>
            <w:pPr>
              <w:spacing w:before="20" w:after="20"/>
            </w:pPr>
            <w:r/>
            <w:r>
              <w:rPr>
                <w:rFonts w:ascii="Verdana" w:hAnsi="Verdana"/>
                <w:b w:val="0"/>
                <w:sz w:val="16"/>
              </w:rPr>
              <w:t>Número de serie de la radiosonda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0 01 082</w:t>
            </w:r>
          </w:p>
        </w:tc>
        <w:tc>
          <w:tcPr>
            <w:tcW w:type="dxa" w:w="1514"/>
          </w:tcPr>
          <w:p>
            <w:pPr>
              <w:spacing w:before="20" w:after="20"/>
            </w:pPr>
            <w:r/>
            <w:r>
              <w:rPr>
                <w:rFonts w:ascii="Verdana" w:hAnsi="Verdana"/>
                <w:b w:val="0"/>
                <w:sz w:val="16"/>
              </w:rPr>
              <w:t>Número de ascenso de la radiosonda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45: Algunos tipos de estación no tienen capacidad para determinar la condición de la superficie con precisión. Únicamente pueden informar sobre condiciones como “no está seca” o “está helada”. La tabla de cifrado para las condiciones de la superficie de la carretera se ha ajustado en consecuencia.</w:t>
            </w:r>
          </w:p>
        </w:tc>
      </w:tr>
      <w:tr>
        <w:trPr>
          <w:cantSplit/>
        </w:trPr>
        <w:tc>
          <w:tcPr>
            <w:tcW w:type="dxa" w:w="1514"/>
          </w:tcPr>
          <w:p>
            <w:pPr>
              <w:spacing w:before="20" w:after="20"/>
            </w:pPr>
            <w:r/>
            <w:r>
              <w:rPr>
                <w:rFonts w:ascii="Verdana" w:hAnsi="Verdana"/>
                <w:b w:val="0"/>
                <w:sz w:val="16"/>
              </w:rPr>
              <w:t>0 01 083</w:t>
            </w:r>
          </w:p>
        </w:tc>
        <w:tc>
          <w:tcPr>
            <w:tcW w:type="dxa" w:w="1514"/>
          </w:tcPr>
          <w:p>
            <w:pPr>
              <w:spacing w:before="20" w:after="20"/>
            </w:pPr>
            <w:r/>
            <w:r>
              <w:rPr>
                <w:rFonts w:ascii="Verdana" w:hAnsi="Verdana"/>
                <w:b w:val="0"/>
                <w:sz w:val="16"/>
              </w:rPr>
              <w:t>Número de liberación de la radiosonda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45: Algunos tipos de estación no tienen capacidad para determinar la condición de la superficie con precisión. Únicamente pueden informar sobre condiciones como “no está seca” o “está helada”. La tabla de cifrado para las condiciones de la superficie de la carretera se ha ajustado en consecuencia.</w:t>
            </w:r>
          </w:p>
        </w:tc>
      </w:tr>
      <w:tr>
        <w:trPr>
          <w:cantSplit/>
        </w:trPr>
        <w:tc>
          <w:tcPr>
            <w:tcW w:type="dxa" w:w="1514"/>
          </w:tcPr>
          <w:p>
            <w:pPr>
              <w:spacing w:before="20" w:after="20"/>
            </w:pPr>
            <w:r/>
            <w:r>
              <w:rPr>
                <w:rFonts w:ascii="Verdana" w:hAnsi="Verdana"/>
                <w:b w:val="0"/>
                <w:sz w:val="16"/>
              </w:rPr>
              <w:t>0 01 085</w:t>
            </w:r>
          </w:p>
        </w:tc>
        <w:tc>
          <w:tcPr>
            <w:tcW w:type="dxa" w:w="1514"/>
          </w:tcPr>
          <w:p>
            <w:pPr>
              <w:spacing w:before="20" w:after="20"/>
            </w:pPr>
            <w:r/>
            <w:r>
              <w:rPr>
                <w:rFonts w:ascii="Verdana" w:hAnsi="Verdana"/>
                <w:b w:val="0"/>
                <w:sz w:val="16"/>
              </w:rPr>
              <w:t>Modelo del fabricante de la plataforma de observación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0 01 086</w:t>
            </w:r>
          </w:p>
        </w:tc>
        <w:tc>
          <w:tcPr>
            <w:tcW w:type="dxa" w:w="1514"/>
          </w:tcPr>
          <w:p>
            <w:pPr>
              <w:spacing w:before="20" w:after="20"/>
            </w:pPr>
            <w:r/>
            <w:r>
              <w:rPr>
                <w:rFonts w:ascii="Verdana" w:hAnsi="Verdana"/>
                <w:b w:val="0"/>
                <w:sz w:val="16"/>
              </w:rPr>
              <w:t>Número de serie del fabricante de la plataforma de observación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0 01 087</w:t>
            </w:r>
          </w:p>
        </w:tc>
        <w:tc>
          <w:tcPr>
            <w:tcW w:type="dxa" w:w="1514"/>
          </w:tcPr>
          <w:p>
            <w:pPr>
              <w:spacing w:before="20" w:after="20"/>
            </w:pPr>
            <w:r/>
            <w:r>
              <w:rPr>
                <w:rFonts w:ascii="Verdana" w:hAnsi="Verdana"/>
                <w:b w:val="0"/>
                <w:sz w:val="16"/>
              </w:rPr>
              <w:t>Indicador ampliado de la plataforma OMM de observación marina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0 01 090</w:t>
            </w:r>
          </w:p>
        </w:tc>
        <w:tc>
          <w:tcPr>
            <w:tcW w:type="dxa" w:w="1514"/>
          </w:tcPr>
          <w:p>
            <w:pPr>
              <w:spacing w:before="20" w:after="20"/>
            </w:pPr>
            <w:r/>
            <w:r>
              <w:rPr>
                <w:rFonts w:ascii="Verdana" w:hAnsi="Verdana"/>
                <w:b w:val="0"/>
                <w:sz w:val="16"/>
              </w:rPr>
              <w:t>Técnica para la composición de perturbaciones iniciales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0 01 091</w:t>
            </w:r>
          </w:p>
        </w:tc>
        <w:tc>
          <w:tcPr>
            <w:tcW w:type="dxa" w:w="1514"/>
          </w:tcPr>
          <w:p>
            <w:pPr>
              <w:spacing w:before="20" w:after="20"/>
            </w:pPr>
            <w:r/>
            <w:r>
              <w:rPr>
                <w:rFonts w:ascii="Verdana" w:hAnsi="Verdana"/>
                <w:b w:val="0"/>
                <w:sz w:val="16"/>
              </w:rPr>
              <w:t>Número de miembros del conjunto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0 01 092</w:t>
            </w:r>
          </w:p>
        </w:tc>
        <w:tc>
          <w:tcPr>
            <w:tcW w:type="dxa" w:w="1514"/>
          </w:tcPr>
          <w:p>
            <w:pPr>
              <w:spacing w:before="20" w:after="20"/>
            </w:pPr>
            <w:r/>
            <w:r>
              <w:rPr>
                <w:rFonts w:ascii="Verdana" w:hAnsi="Verdana"/>
                <w:b w:val="0"/>
                <w:sz w:val="16"/>
              </w:rPr>
              <w:t>Tipo de predicción por conjuntos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0 01 093</w:t>
            </w:r>
          </w:p>
        </w:tc>
        <w:tc>
          <w:tcPr>
            <w:tcW w:type="dxa" w:w="1514"/>
          </w:tcPr>
          <w:p>
            <w:pPr>
              <w:spacing w:before="20" w:after="20"/>
            </w:pPr>
            <w:r/>
            <w:r>
              <w:rPr>
                <w:rFonts w:ascii="Verdana" w:hAnsi="Verdana"/>
                <w:b w:val="0"/>
                <w:sz w:val="16"/>
              </w:rPr>
              <w:t>Número de lote del globo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0 01 094</w:t>
            </w:r>
          </w:p>
        </w:tc>
        <w:tc>
          <w:tcPr>
            <w:tcW w:type="dxa" w:w="1514"/>
          </w:tcPr>
          <w:p>
            <w:pPr>
              <w:spacing w:before="20" w:after="20"/>
            </w:pPr>
            <w:r/>
            <w:r>
              <w:rPr>
                <w:rFonts w:ascii="Verdana" w:hAnsi="Verdana"/>
                <w:b w:val="0"/>
                <w:sz w:val="16"/>
              </w:rPr>
              <w:t>Número de WBAN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0 01 095</w:t>
            </w:r>
          </w:p>
        </w:tc>
        <w:tc>
          <w:tcPr>
            <w:tcW w:type="dxa" w:w="1514"/>
          </w:tcPr>
          <w:p>
            <w:pPr>
              <w:spacing w:before="20" w:after="20"/>
            </w:pPr>
            <w:r/>
            <w:r>
              <w:rPr>
                <w:rFonts w:ascii="Verdana" w:hAnsi="Verdana"/>
                <w:b w:val="0"/>
                <w:sz w:val="16"/>
              </w:rPr>
              <w:t>Identificación del observador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0 01 096</w:t>
            </w:r>
          </w:p>
        </w:tc>
        <w:tc>
          <w:tcPr>
            <w:tcW w:type="dxa" w:w="1514"/>
          </w:tcPr>
          <w:p>
            <w:pPr>
              <w:spacing w:before="20" w:after="20"/>
            </w:pPr>
            <w:r/>
            <w:r>
              <w:rPr>
                <w:rFonts w:ascii="Verdana" w:hAnsi="Verdana"/>
                <w:b w:val="0"/>
                <w:sz w:val="16"/>
              </w:rPr>
              <w:t>Adquisición de estación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0 01 099</w:t>
            </w:r>
          </w:p>
        </w:tc>
        <w:tc>
          <w:tcPr>
            <w:tcW w:type="dxa" w:w="1514"/>
          </w:tcPr>
          <w:p>
            <w:pPr>
              <w:spacing w:before="20" w:after="20"/>
            </w:pPr>
            <w:r/>
            <w:r>
              <w:rPr>
                <w:rFonts w:ascii="Verdana" w:hAnsi="Verdana"/>
                <w:b w:val="0"/>
                <w:sz w:val="16"/>
              </w:rPr>
              <w:t>Definición única del producto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248</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0 01 101</w:t>
            </w:r>
          </w:p>
        </w:tc>
        <w:tc>
          <w:tcPr>
            <w:tcW w:type="dxa" w:w="1514"/>
          </w:tcPr>
          <w:p>
            <w:pPr>
              <w:spacing w:before="20" w:after="20"/>
            </w:pPr>
            <w:r/>
            <w:r>
              <w:rPr>
                <w:rFonts w:ascii="Verdana" w:hAnsi="Verdana"/>
                <w:b w:val="0"/>
                <w:sz w:val="16"/>
              </w:rPr>
              <w:t>Identificador de Estado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0 01 102</w:t>
            </w:r>
          </w:p>
        </w:tc>
        <w:tc>
          <w:tcPr>
            <w:tcW w:type="dxa" w:w="1514"/>
          </w:tcPr>
          <w:p>
            <w:pPr>
              <w:spacing w:before="20" w:after="20"/>
            </w:pPr>
            <w:r/>
            <w:r>
              <w:rPr>
                <w:rFonts w:ascii="Verdana" w:hAnsi="Verdana"/>
                <w:b w:val="0"/>
                <w:sz w:val="16"/>
              </w:rPr>
              <w:t>Número nacional de estación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0 01 103</w:t>
            </w:r>
          </w:p>
        </w:tc>
        <w:tc>
          <w:tcPr>
            <w:tcW w:type="dxa" w:w="1514"/>
          </w:tcPr>
          <w:p>
            <w:pPr>
              <w:spacing w:before="20" w:after="20"/>
            </w:pPr>
            <w:r/>
            <w:r>
              <w:rPr>
                <w:rFonts w:ascii="Verdana" w:hAnsi="Verdana"/>
                <w:b w:val="0"/>
                <w:sz w:val="16"/>
              </w:rPr>
              <w:t>Número OMI. Registro Lloyd único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0 01 104</w:t>
            </w:r>
          </w:p>
        </w:tc>
        <w:tc>
          <w:tcPr>
            <w:tcW w:type="dxa" w:w="1514"/>
          </w:tcPr>
          <w:p>
            <w:pPr>
              <w:spacing w:before="20" w:after="20"/>
            </w:pPr>
            <w:r/>
            <w:r>
              <w:rPr>
                <w:rFonts w:ascii="Verdana" w:hAnsi="Verdana"/>
                <w:b w:val="0"/>
                <w:sz w:val="16"/>
              </w:rPr>
              <w:t>Identificador de Estado/Estado federal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0 01 105</w:t>
            </w:r>
          </w:p>
        </w:tc>
        <w:tc>
          <w:tcPr>
            <w:tcW w:type="dxa" w:w="1514"/>
          </w:tcPr>
          <w:p>
            <w:pPr>
              <w:spacing w:before="20" w:after="20"/>
            </w:pPr>
            <w:r/>
            <w:r>
              <w:rPr>
                <w:rFonts w:ascii="Verdana" w:hAnsi="Verdana"/>
                <w:b w:val="0"/>
                <w:sz w:val="16"/>
              </w:rPr>
              <w:t>Denominador de la ruta principal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0 01 106</w:t>
            </w:r>
          </w:p>
        </w:tc>
        <w:tc>
          <w:tcPr>
            <w:tcW w:type="dxa" w:w="1514"/>
          </w:tcPr>
          <w:p>
            <w:pPr>
              <w:spacing w:before="20" w:after="20"/>
            </w:pPr>
            <w:r/>
            <w:r>
              <w:rPr>
                <w:rFonts w:ascii="Verdana" w:hAnsi="Verdana"/>
                <w:b w:val="0"/>
                <w:sz w:val="16"/>
              </w:rPr>
              <w:t>Lugar a lo largo de la ruta principal indicado por marcadores de posición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0 01 110</w:t>
            </w:r>
          </w:p>
        </w:tc>
        <w:tc>
          <w:tcPr>
            <w:tcW w:type="dxa" w:w="1514"/>
          </w:tcPr>
          <w:p>
            <w:pPr>
              <w:spacing w:before="20" w:after="20"/>
            </w:pPr>
            <w:r/>
            <w:r>
              <w:rPr>
                <w:rFonts w:ascii="Verdana" w:hAnsi="Verdana"/>
                <w:b w:val="0"/>
                <w:sz w:val="16"/>
              </w:rPr>
              <w:t>Número de cola de la aeronave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0 01 111</w:t>
            </w:r>
          </w:p>
        </w:tc>
        <w:tc>
          <w:tcPr>
            <w:tcW w:type="dxa" w:w="1514"/>
          </w:tcPr>
          <w:p>
            <w:pPr>
              <w:spacing w:before="20" w:after="20"/>
            </w:pPr>
            <w:r/>
            <w:r>
              <w:rPr>
                <w:rFonts w:ascii="Verdana" w:hAnsi="Verdana"/>
                <w:b w:val="0"/>
                <w:sz w:val="16"/>
              </w:rPr>
              <w:t>Aeropuerto de origen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0 01 112</w:t>
            </w:r>
          </w:p>
        </w:tc>
        <w:tc>
          <w:tcPr>
            <w:tcW w:type="dxa" w:w="1514"/>
          </w:tcPr>
          <w:p>
            <w:pPr>
              <w:spacing w:before="20" w:after="20"/>
            </w:pPr>
            <w:r/>
            <w:r>
              <w:rPr>
                <w:rFonts w:ascii="Verdana" w:hAnsi="Verdana"/>
                <w:b w:val="0"/>
                <w:sz w:val="16"/>
              </w:rPr>
              <w:t>Aeropuerto de destino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0 01 113</w:t>
            </w:r>
          </w:p>
        </w:tc>
        <w:tc>
          <w:tcPr>
            <w:tcW w:type="dxa" w:w="1514"/>
          </w:tcPr>
          <w:p>
            <w:pPr>
              <w:spacing w:before="20" w:after="20"/>
            </w:pPr>
            <w:r/>
            <w:r>
              <w:rPr>
                <w:rFonts w:ascii="Verdana" w:hAnsi="Verdana"/>
                <w:b w:val="0"/>
                <w:sz w:val="16"/>
              </w:rPr>
              <w:t>Número de versión del modelo definido por el centro de origen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0 01 114</w:t>
            </w:r>
          </w:p>
        </w:tc>
        <w:tc>
          <w:tcPr>
            <w:tcW w:type="dxa" w:w="1514"/>
          </w:tcPr>
          <w:p>
            <w:pPr>
              <w:spacing w:before="20" w:after="20"/>
            </w:pPr>
            <w:r/>
            <w:r>
              <w:rPr>
                <w:rFonts w:ascii="Verdana" w:hAnsi="Verdana"/>
                <w:b w:val="0"/>
                <w:sz w:val="16"/>
              </w:rPr>
              <w:t>Identificación encriptada del buque o de la estación terrestre móvil (encriptación base64)</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352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0 01 115</w:t>
            </w:r>
          </w:p>
        </w:tc>
        <w:tc>
          <w:tcPr>
            <w:tcW w:type="dxa" w:w="1514"/>
          </w:tcPr>
          <w:p>
            <w:pPr>
              <w:spacing w:before="20" w:after="20"/>
            </w:pPr>
            <w:r/>
            <w:r>
              <w:rPr>
                <w:rFonts w:ascii="Verdana" w:hAnsi="Verdana"/>
                <w:b w:val="0"/>
                <w:sz w:val="16"/>
              </w:rPr>
              <w:t>Identificador del crucero o de la misión en que se recopilaron los datos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0 01 124</w:t>
            </w:r>
          </w:p>
        </w:tc>
        <w:tc>
          <w:tcPr>
            <w:tcW w:type="dxa" w:w="1514"/>
          </w:tcPr>
          <w:p>
            <w:pPr>
              <w:spacing w:before="20" w:after="20"/>
            </w:pPr>
            <w:r/>
            <w:r>
              <w:rPr>
                <w:rFonts w:ascii="Verdana" w:hAnsi="Verdana"/>
                <w:b w:val="0"/>
                <w:sz w:val="16"/>
              </w:rPr>
              <w:t>Identificador de punto de retícula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0 01 125</w:t>
            </w:r>
          </w:p>
        </w:tc>
        <w:tc>
          <w:tcPr>
            <w:tcW w:type="dxa" w:w="1514"/>
          </w:tcPr>
          <w:p>
            <w:pPr>
              <w:spacing w:before="20" w:after="20"/>
            </w:pPr>
            <w:r/>
            <w:r>
              <w:rPr>
                <w:rFonts w:ascii="Verdana" w:hAnsi="Verdana"/>
                <w:b w:val="0"/>
                <w:sz w:val="16"/>
              </w:rPr>
              <w:t>Serie de identificadores del WIGOS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0 01 126</w:t>
            </w:r>
          </w:p>
        </w:tc>
        <w:tc>
          <w:tcPr>
            <w:tcW w:type="dxa" w:w="1514"/>
          </w:tcPr>
          <w:p>
            <w:pPr>
              <w:spacing w:before="20" w:after="20"/>
            </w:pPr>
            <w:r/>
            <w:r>
              <w:rPr>
                <w:rFonts w:ascii="Verdana" w:hAnsi="Verdana"/>
                <w:b w:val="0"/>
                <w:sz w:val="16"/>
              </w:rPr>
              <w:t>Emisor del identificador del WIGOS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0 01 127</w:t>
            </w:r>
          </w:p>
        </w:tc>
        <w:tc>
          <w:tcPr>
            <w:tcW w:type="dxa" w:w="1514"/>
          </w:tcPr>
          <w:p>
            <w:pPr>
              <w:spacing w:before="20" w:after="20"/>
            </w:pPr>
            <w:r/>
            <w:r>
              <w:rPr>
                <w:rFonts w:ascii="Verdana" w:hAnsi="Verdana"/>
                <w:b w:val="0"/>
                <w:sz w:val="16"/>
              </w:rPr>
              <w:t>Numero de emisión del WIGOS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0 01 128</w:t>
            </w:r>
          </w:p>
        </w:tc>
        <w:tc>
          <w:tcPr>
            <w:tcW w:type="dxa" w:w="1514"/>
          </w:tcPr>
          <w:p>
            <w:pPr>
              <w:spacing w:before="20" w:after="20"/>
            </w:pPr>
            <w:r/>
            <w:r>
              <w:rPr>
                <w:rFonts w:ascii="Verdana" w:hAnsi="Verdana"/>
                <w:b w:val="0"/>
                <w:sz w:val="16"/>
              </w:rPr>
              <w:t>Identificador local del WIGOS (carácter)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0 01 144</w:t>
            </w:r>
          </w:p>
        </w:tc>
        <w:tc>
          <w:tcPr>
            <w:tcW w:type="dxa" w:w="1514"/>
          </w:tcPr>
          <w:p>
            <w:pPr>
              <w:spacing w:before="20" w:after="20"/>
            </w:pPr>
            <w:r/>
            <w:r>
              <w:rPr>
                <w:rFonts w:ascii="Verdana" w:hAnsi="Verdana"/>
                <w:b w:val="0"/>
                <w:sz w:val="16"/>
              </w:rPr>
              <w:t>Identificador de instantánea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0 01 150</w:t>
            </w:r>
          </w:p>
        </w:tc>
        <w:tc>
          <w:tcPr>
            <w:tcW w:type="dxa" w:w="1514"/>
          </w:tcPr>
          <w:p>
            <w:pPr>
              <w:spacing w:before="20" w:after="20"/>
            </w:pPr>
            <w:r/>
            <w:r>
              <w:rPr>
                <w:rFonts w:ascii="Verdana" w:hAnsi="Verdana"/>
                <w:b w:val="0"/>
                <w:sz w:val="16"/>
              </w:rPr>
              <w:t>Sistema de coordenadas de referencia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0 01 151</w:t>
            </w:r>
          </w:p>
        </w:tc>
        <w:tc>
          <w:tcPr>
            <w:tcW w:type="dxa" w:w="1514"/>
          </w:tcPr>
          <w:p>
            <w:pPr>
              <w:spacing w:before="20" w:after="20"/>
            </w:pPr>
            <w:r/>
            <w:r>
              <w:rPr>
                <w:rFonts w:ascii="Verdana" w:hAnsi="Verdana"/>
                <w:b w:val="0"/>
                <w:sz w:val="16"/>
              </w:rPr>
              <w:t>Dato de referencia del nivel medio del mar obtenido respecto a una referencia fija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0 01 152</w:t>
            </w:r>
          </w:p>
        </w:tc>
        <w:tc>
          <w:tcPr>
            <w:tcW w:type="dxa" w:w="1514"/>
          </w:tcPr>
          <w:p>
            <w:pPr>
              <w:spacing w:before="20" w:after="20"/>
            </w:pPr>
            <w:r/>
            <w:r>
              <w:rPr>
                <w:rFonts w:ascii="Verdana" w:hAnsi="Verdana"/>
                <w:b w:val="0"/>
                <w:sz w:val="16"/>
              </w:rPr>
              <w:t>Semieje mayor del elipsoide de rotación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0 01 153</w:t>
            </w:r>
          </w:p>
        </w:tc>
        <w:tc>
          <w:tcPr>
            <w:tcW w:type="dxa" w:w="1514"/>
          </w:tcPr>
          <w:p>
            <w:pPr>
              <w:spacing w:before="20" w:after="20"/>
            </w:pPr>
            <w:r/>
            <w:r>
              <w:rPr>
                <w:rFonts w:ascii="Verdana" w:hAnsi="Verdana"/>
                <w:b w:val="0"/>
                <w:sz w:val="16"/>
              </w:rPr>
              <w:t>Semieje menor del elipsoide de rotación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0 01 154</w:t>
            </w:r>
          </w:p>
        </w:tc>
        <w:tc>
          <w:tcPr>
            <w:tcW w:type="dxa" w:w="1514"/>
          </w:tcPr>
          <w:p>
            <w:pPr>
              <w:spacing w:before="20" w:after="20"/>
            </w:pPr>
            <w:r/>
            <w:r>
              <w:rPr>
                <w:rFonts w:ascii="Verdana" w:hAnsi="Verdana"/>
                <w:b w:val="0"/>
                <w:sz w:val="16"/>
              </w:rPr>
              <w:t>Identificador del sensor</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bl>
    <w:p/>
    <w:p>
      <w:r>
        <w:rPr>
          <w:rFonts w:ascii="Verdana" w:hAnsi="Verdana"/>
          <w:i/>
          <w:sz w:val="14"/>
        </w:rPr>
        <w:t>Note 23: El valor –0,1 kg m–2 antes de la aplicación del factor de escala (–1 después de su aplicación o en la clave CREX) indicará “trazas” (no mensurable, menos de 0,05 kg m–2).</w:t>
      </w:r>
    </w:p>
    <w:p>
      <w:r>
        <w:rPr>
          <w:rFonts w:ascii="Verdana" w:hAnsi="Verdana"/>
          <w:i/>
          <w:sz w:val="14"/>
        </w:rPr>
        <w:t>Note 25: Una significación definida anteriormente puede anularse transmitiendo un “valor faltante” a partir de la tabla de cifrado o de banderines apropiada.</w:t>
      </w:r>
    </w:p>
    <w:p>
      <w:r>
        <w:rPr>
          <w:rFonts w:ascii="Verdana" w:hAnsi="Verdana"/>
          <w:i/>
          <w:sz w:val="14"/>
        </w:rPr>
        <w:t>Note 27: Todas las horas están expresadas en Tiempo Universal Coordinado (UTC), a menos que se indique lo contrario. I.2 – BUFR/CREX Tabla B/04 – 3</w:t>
      </w:r>
    </w:p>
    <w:p>
      <w:r>
        <w:rPr>
          <w:rFonts w:ascii="Verdana" w:hAnsi="Verdana"/>
          <w:i/>
          <w:sz w:val="14"/>
        </w:rPr>
        <w:t>Note 32: Solo se indicará el rumbo o azimut en relación con la localización comunicada que no volverá a especificarse.</w:t>
      </w:r>
    </w:p>
    <w:p>
      <w:r>
        <w:rPr>
          <w:rFonts w:ascii="Verdana" w:hAnsi="Verdana"/>
          <w:i/>
          <w:sz w:val="14"/>
        </w:rPr>
        <w:t>Note 62: Tan solo se indicará la distancia en relación con la localización comunicada y el rumbo, azimut o elevación y no se volverá a especificar esta localización.</w:t>
      </w:r>
    </w:p>
    <w:p>
      <w:r>
        <w:rPr>
          <w:rFonts w:ascii="Verdana" w:hAnsi="Verdana"/>
          <w:i/>
          <w:sz w:val="14"/>
        </w:rPr>
        <w:t>Note 63: Se asignarán valores positivos a la radiación descendente.</w:t>
      </w:r>
    </w:p>
    <w:p>
      <w:r>
        <w:rPr>
          <w:rFonts w:ascii="Verdana" w:hAnsi="Verdana"/>
          <w:i/>
          <w:sz w:val="14"/>
        </w:rPr>
        <w:t>Note 64: Se asignarán valores positivos a los componentes descendentes w cuando las unidades sean Pa s –1.</w:t>
      </w:r>
    </w:p>
    <w:p>
      <w:r>
        <w:rPr>
          <w:rFonts w:ascii="Verdana" w:hAnsi="Verdana"/>
          <w:i/>
          <w:sz w:val="14"/>
        </w:rPr>
        <w:t>Note 66: Se asignarán valores negativos a los incrementos este-oeste.</w:t>
      </w:r>
    </w:p>
    <w:p>
      <w:r>
        <w:rPr>
          <w:rFonts w:ascii="Verdana" w:hAnsi="Verdana"/>
          <w:i/>
          <w:sz w:val="14"/>
        </w:rPr>
        <w:t>Note 75: Para los descriptores CREX F = B, no 0.</w:t>
      </w:r>
    </w:p>
    <w:p>
      <w:r>
        <w:rPr>
          <w:rFonts w:ascii="Verdana" w:hAnsi="Verdana"/>
          <w:i/>
          <w:sz w:val="14"/>
        </w:rPr>
        <w:t>Note 92: Para distinguir claramente los casos de datos faltantes y de píxeles saturados, los datos de imagen de n bits deberían cifrarse utilizando una anchura de datos de n + 1. Si tal descriptor no está disponible ya en la Clase 30, debería utilizarse un descriptor de operación 2 01 YYY para modificar la anchura de datos de la entrada existente, si fuese necesario. I.2 – BUFR/CREX Tabla B/30 – 1</w:t>
      </w:r>
    </w:p>
    <w:p>
      <w:r>
        <w:rPr>
          <w:rFonts w:ascii="Verdana" w:hAnsi="Verdana"/>
          <w:i/>
          <w:sz w:val="14"/>
        </w:rPr>
        <w:t>Note 105: Para indicar períodos de tiempo o desplazamientos que preceden al tiempo definido actualmente se emplearán períodos de tiempo negativos o desplazamientos.</w:t>
      </w:r>
    </w:p>
    <w:p>
      <w:r>
        <w:rPr>
          <w:rFonts w:ascii="Verdana" w:hAnsi="Verdana"/>
          <w:i/>
          <w:sz w:val="14"/>
        </w:rPr>
        <w:t>Note 110: Se asignarán valores negativos a los incrementos norte-sur.</w:t>
      </w:r>
    </w:p>
    <w:p>
      <w:r>
        <w:rPr>
          <w:rFonts w:ascii="Verdana" w:hAnsi="Verdana"/>
          <w:i/>
          <w:sz w:val="14"/>
        </w:rPr>
        <w:t>Note 115: La anchura de datos de los píxeles puede cambiarse mediante el descriptor 2 01 YYY.</w:t>
      </w:r>
    </w:p>
    <w:p>
      <w:r>
        <w:rPr>
          <w:rFonts w:ascii="Verdana" w:hAnsi="Verdana"/>
          <w:i/>
          <w:sz w:val="14"/>
        </w:rPr>
        <w:t>Note 121: En relación con determinados elementos de esta clase, pueden consignarse algunas indicaciones sobre la precisión prevista.</w:t>
      </w:r>
    </w:p>
    <w:p>
      <w:r>
        <w:rPr>
          <w:rFonts w:ascii="Verdana" w:hAnsi="Verdana"/>
          <w:i/>
          <w:sz w:val="14"/>
        </w:rPr>
        <w:t>Note 122: Se asignarán valores negativos a la latitud sur.</w:t>
      </w:r>
    </w:p>
    <w:p>
      <w:r>
        <w:rPr>
          <w:rFonts w:ascii="Verdana" w:hAnsi="Verdana"/>
          <w:i/>
          <w:sz w:val="14"/>
        </w:rPr>
        <w:t>Note 123: Se asignarán valores positivos a los componentes v en sentido sur–norte.</w:t>
      </w:r>
    </w:p>
    <w:p>
      <w:r>
        <w:rPr>
          <w:rFonts w:ascii="Verdana" w:hAnsi="Verdana"/>
          <w:i/>
          <w:sz w:val="14"/>
        </w:rPr>
        <w:t>Note 126: Los informes sobre la dirección del viento de superficie resultantes de mediciones dentro del 1° del Polo Norte o del Polo Sur se notificarán de manera que el cero de su acimut esté alineado, coincidiendo con los 0° del meridiano de Greenwich. I.2 – BUFR/CREX Tabla B/11 – 6</w:t>
      </w:r>
    </w:p>
    <w:p>
      <w:r>
        <w:rPr>
          <w:rFonts w:ascii="Verdana" w:hAnsi="Verdana"/>
          <w:i/>
          <w:sz w:val="14"/>
        </w:rPr>
        <w:t>Note 140: El tamaño del píxel en la horizontal – 1 está dado por la posición donde el factor de escala del mapa es igual a la unidad.</w:t>
      </w:r>
    </w:p>
    <w:p>
      <w:r>
        <w:rPr>
          <w:rFonts w:ascii="Verdana" w:hAnsi="Verdana"/>
          <w:i/>
          <w:sz w:val="14"/>
        </w:rPr>
        <w:t>Note 141: El tamaño del píxel en la horizontal – 2 está dado por la posición donde el factor de escala del mapa es igual a la unidad.</w:t>
      </w:r>
    </w:p>
    <w:p>
      <w:r>
        <w:rPr>
          <w:rFonts w:ascii="Verdana" w:hAnsi="Verdana"/>
          <w:i/>
          <w:sz w:val="14"/>
        </w:rPr>
        <w:t>Note 145: La significación de los períodos o desplazamientos de tiempo se puede indicar utilizando la clave de significación del tiempo correspondiente a la referencia de tabla 0 08 021.</w:t>
      </w:r>
    </w:p>
    <w:p>
      <w:r>
        <w:rPr>
          <w:rFonts w:ascii="Verdana" w:hAnsi="Verdana"/>
          <w:i/>
          <w:sz w:val="14"/>
        </w:rPr>
        <w:t>Note 149: La localización del tiempo, cuando se utiliza con valores de predicción, indicará la hora del estado inicial de la predicción o el comienzo del período de predicción; cuando se utilice con promedios de conjunto de valores de predicción, la localización del tiempo indicará el estado inicial o el comienzo de la primera predicción de las que se obtienen los valores medios de conjunto</w:t>
      </w:r>
    </w:p>
    <w:p>
      <w:r>
        <w:rPr>
          <w:rFonts w:ascii="Verdana" w:hAnsi="Verdana"/>
          <w:i/>
          <w:sz w:val="14"/>
        </w:rPr>
        <w:t>Note 155: Esta clase también puede contener elementos relativos a los procedimientos de observación.</w:t>
      </w:r>
    </w:p>
    <w:p>
      <w:r>
        <w:rPr>
          <w:rFonts w:ascii="Verdana" w:hAnsi="Verdana"/>
          <w:i/>
          <w:sz w:val="14"/>
        </w:rPr>
        <w:t>Note 156: Esta clase incluirá elementos que describen los instrumentos que se utilizan para obtener los elementos meteorológicos transmitidos.</w:t>
      </w:r>
    </w:p>
    <w:p>
      <w:r>
        <w:rPr>
          <w:rFonts w:ascii="Verdana" w:hAnsi="Verdana"/>
          <w:i/>
          <w:sz w:val="14"/>
        </w:rPr>
        <w:t>Note 158: Respecto a los períodos o desplazamientos de tiempo, e incrementos de tiempo, será necesario determinar la localización inicial del tiempo antes de utilizarlos, y a continuación, según corresponda, se indicará la definición y significación del tiempo.</w:t>
      </w:r>
    </w:p>
    <w:p>
      <w:r>
        <w:rPr>
          <w:rFonts w:ascii="Verdana" w:hAnsi="Verdana"/>
          <w:i/>
          <w:sz w:val="14"/>
        </w:rPr>
        <w:t>Note 160: Se asignarán valores negativos a la radiación ascendente.</w:t>
      </w:r>
    </w:p>
    <w:p>
      <w:r>
        <w:rPr>
          <w:rFonts w:ascii="Verdana" w:hAnsi="Verdana"/>
          <w:i/>
          <w:sz w:val="14"/>
        </w:rPr>
        <w:t>Note 161: Se asignarán valores positivos a los componentes ascendentes w cuando las unidades sean m s–1.</w:t>
      </w:r>
    </w:p>
    <w:p>
      <w:r>
        <w:rPr>
          <w:rFonts w:ascii="Verdana" w:hAnsi="Verdana"/>
          <w:i/>
          <w:sz w:val="14"/>
        </w:rPr>
        <w:t>Note 162: Intervalos útiles utilizados: de 1011 Bq a 1019 Bq para emisiones; de 10–2 Bq a 107 Bq y de 10–2 mSv a 107 mSv para concentraciones y dosis.</w:t>
      </w:r>
    </w:p>
    <w:p>
      <w:r>
        <w:rPr>
          <w:rFonts w:ascii="Verdana" w:hAnsi="Verdana"/>
          <w:i/>
          <w:sz w:val="14"/>
        </w:rPr>
        <w:t>Note 163: Los valores de la latitud y de los incrementos de latitud quedan comprendidos entre –90 grados y +90 grados.</w:t>
      </w:r>
    </w:p>
    <w:p>
      <w:r>
        <w:rPr>
          <w:rFonts w:ascii="Verdana" w:hAnsi="Verdana"/>
          <w:i/>
          <w:sz w:val="14"/>
        </w:rPr>
        <w:t>Note 164: Los valores de longitud quedarán comprendidos entre –180 grados y +180 grados.</w:t>
      </w:r>
    </w:p>
    <w:p>
      <w:r>
        <w:rPr>
          <w:rFonts w:ascii="Verdana" w:hAnsi="Verdana"/>
          <w:i/>
          <w:sz w:val="14"/>
        </w:rPr>
        <w:t>Note 165: Se indicarán los elementos verticales y la presión para determinar los valores de estos elementos con independencia del elemento o variable que indique la coordenada vertical.</w:t>
      </w:r>
    </w:p>
    <w:p>
      <w:r>
        <w:rPr>
          <w:rFonts w:ascii="Verdana" w:hAnsi="Verdana"/>
          <w:i/>
          <w:sz w:val="14"/>
        </w:rPr>
        <w:t>Note 166: Se asignarán valores negativos a la longitud oeste.</w:t>
      </w:r>
    </w:p>
    <w:p>
      <w:r>
        <w:rPr>
          <w:rFonts w:ascii="Verdana" w:hAnsi="Verdana"/>
          <w:i/>
          <w:sz w:val="14"/>
        </w:rPr>
        <w:t>Note 167: Se asignarán valores positivos a los componentes u en sentido oeste–este.</w:t>
      </w:r>
    </w:p>
    <w:p>
      <w:r>
        <w:rPr>
          <w:rFonts w:ascii="Verdana" w:hAnsi="Verdana"/>
          <w:i/>
          <w:sz w:val="14"/>
        </w:rPr>
        <w:t>Note 176: Cuando sea necesario indicar más de un período o desplazamiento de tiempo para hacer indicaciones de tiempo complejas se definirán en sucesión inmediata en el siguiente orden: período conjunto (según corresponda), seguido por el período de predicción (según corresponda), seguido por el período de promedio o acumulación (según corresponda).</w:t>
      </w:r>
    </w:p>
    <w:p>
      <w:r>
        <w:rPr>
          <w:rFonts w:ascii="Verdana" w:hAnsi="Verdana"/>
          <w:i/>
          <w:sz w:val="14"/>
        </w:rPr>
        <w:t>Note 178: Cuando se indique la expresión “período determinado” en la columna “nombre del elemento”, deberá indicarse el período correspondiente, utilizando referencias de la Clase 04.</w:t>
      </w:r>
    </w:p>
    <w:p>
      <w:r>
        <w:rPr>
          <w:rFonts w:ascii="Verdana" w:hAnsi="Verdana"/>
          <w:i/>
          <w:sz w:val="14"/>
        </w:rPr>
        <w:t>Note 179: Cuando se acumulen o promedien los valores (por ejemplo en relación con un determinado período de tiempo), el número total de valores de los que se obtienen los valores acumulados o promediados podrán representarse utilizando la referencia 0 08 022.</w:t>
      </w:r>
    </w:p>
    <w:p>
      <w:r>
        <w:rPr>
          <w:rFonts w:ascii="Verdana" w:hAnsi="Verdana"/>
          <w:i/>
          <w:sz w:val="14"/>
        </w:rPr>
        <w:t>Note 180: Normas para la información sobre vientos: Velocidad Dirección Valor faltante Valor faltante Calma 0 0 Observación normal &gt;0 1°–360° Velocidad solamente &gt;0 Valor faltante Dirección solamente Valor faltante 1°–360° “Ligero y variable” &gt;0 0 No hay observaciones</w:t>
      </w:r>
    </w:p>
    <w:p>
      <w:r>
        <w:rPr>
          <w:rFonts w:ascii="Verdana" w:hAnsi="Verdana"/>
          <w:i/>
          <w:sz w:val="14"/>
        </w:rPr>
        <w:t>Note 181: Normas de notificación sobre mar de viento y olas: Observación Velocidad Dirección Ninguna observación faltante faltante Calma 0 0 Observación normal &gt;0 1–360 Velocidad únicamente &gt;0 faltante Dirección únicamente faltante 1–360 &gt;0 0 “Ligero y variable”</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