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13: Elementos hidrográfico e hidrológico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NOMBRE DEL ELEMENTO</w:t>
            </w:r>
          </w:p>
        </w:tc>
        <w:tc>
          <w:tcPr>
            <w:tcW w:type="dxa" w:w="1514"/>
            <w:shd w:val="clear" w:color="auto" w:fill="D9D9D9"/>
          </w:tcPr>
          <w:p>
            <w:pPr>
              <w:spacing w:before="20" w:after="20"/>
            </w:pPr>
            <w:r/>
            <w:r>
              <w:rPr>
                <w:rFonts w:ascii="Verdana" w:hAnsi="Verdana"/>
                <w:b w:val="0"/>
                <w:sz w:val="16"/>
              </w:rPr>
              <w:t>UNIDAD BUFR</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VAL. REF.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UNIDAD CREX</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NOTA</w:t>
            </w:r>
          </w:p>
        </w:tc>
      </w:tr>
      <w:tr>
        <w:trPr>
          <w:cantSplit/>
        </w:trPr>
        <w:tc>
          <w:tcPr>
            <w:tcW w:type="dxa" w:w="1514"/>
          </w:tcPr>
          <w:p>
            <w:pPr>
              <w:spacing w:before="20" w:after="20"/>
            </w:pPr>
            <w:r/>
            <w:r>
              <w:rPr>
                <w:rFonts w:ascii="Verdana" w:hAnsi="Verdana"/>
                <w:b w:val="0"/>
                <w:sz w:val="16"/>
              </w:rPr>
              <w:t>0 13 001</w:t>
            </w:r>
          </w:p>
        </w:tc>
        <w:tc>
          <w:tcPr>
            <w:tcW w:type="dxa" w:w="1514"/>
          </w:tcPr>
          <w:p>
            <w:pPr>
              <w:spacing w:before="20" w:after="20"/>
            </w:pPr>
            <w:r/>
            <w:r>
              <w:rPr>
                <w:rFonts w:ascii="Verdana" w:hAnsi="Verdana"/>
                <w:b w:val="0"/>
                <w:sz w:val="16"/>
              </w:rPr>
              <w:t>Humedad específica</w:t>
            </w:r>
          </w:p>
        </w:tc>
        <w:tc>
          <w:tcPr>
            <w:tcW w:type="dxa" w:w="1514"/>
          </w:tcPr>
          <w:p>
            <w:pPr>
              <w:spacing w:before="20" w:after="20"/>
            </w:pPr>
            <w:r/>
            <w:r>
              <w:rPr>
                <w:rFonts w:ascii="Verdana" w:hAnsi="Verdana"/>
                <w:sz w:val="16"/>
              </w:rPr>
              <w:t>kg kg</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kg</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0 13 002</w:t>
            </w:r>
          </w:p>
        </w:tc>
        <w:tc>
          <w:tcPr>
            <w:tcW w:type="dxa" w:w="1514"/>
          </w:tcPr>
          <w:p>
            <w:pPr>
              <w:spacing w:before="20" w:after="20"/>
            </w:pPr>
            <w:r/>
            <w:r>
              <w:rPr>
                <w:rFonts w:ascii="Verdana" w:hAnsi="Verdana"/>
                <w:b w:val="0"/>
                <w:sz w:val="16"/>
              </w:rPr>
              <w:t>Relación de mezcla</w:t>
            </w:r>
          </w:p>
        </w:tc>
        <w:tc>
          <w:tcPr>
            <w:tcW w:type="dxa" w:w="1514"/>
          </w:tcPr>
          <w:p>
            <w:pPr>
              <w:spacing w:before="20" w:after="20"/>
            </w:pPr>
            <w:r/>
            <w:r>
              <w:rPr>
                <w:rFonts w:ascii="Verdana" w:hAnsi="Verdana"/>
                <w:sz w:val="16"/>
              </w:rPr>
              <w:t>kg kg</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kg</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0 13 003</w:t>
            </w:r>
          </w:p>
        </w:tc>
        <w:tc>
          <w:tcPr>
            <w:tcW w:type="dxa" w:w="1514"/>
          </w:tcPr>
          <w:p>
            <w:pPr>
              <w:spacing w:before="20" w:after="20"/>
            </w:pPr>
            <w:r/>
            <w:r>
              <w:rPr>
                <w:rFonts w:ascii="Verdana" w:hAnsi="Verdana"/>
                <w:b w:val="0"/>
                <w:sz w:val="16"/>
              </w:rPr>
              <w:t>Humedad relativa</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0 13 004</w:t>
            </w:r>
          </w:p>
        </w:tc>
        <w:tc>
          <w:tcPr>
            <w:tcW w:type="dxa" w:w="1514"/>
          </w:tcPr>
          <w:p>
            <w:pPr>
              <w:spacing w:before="20" w:after="20"/>
            </w:pPr>
            <w:r/>
            <w:r>
              <w:rPr>
                <w:rFonts w:ascii="Verdana" w:hAnsi="Verdana"/>
                <w:b w:val="0"/>
                <w:sz w:val="16"/>
              </w:rPr>
              <w:t>Presión del vapor</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0 13 005</w:t>
            </w:r>
          </w:p>
        </w:tc>
        <w:tc>
          <w:tcPr>
            <w:tcW w:type="dxa" w:w="1514"/>
          </w:tcPr>
          <w:p>
            <w:pPr>
              <w:spacing w:before="20" w:after="20"/>
            </w:pPr>
            <w:r/>
            <w:r>
              <w:rPr>
                <w:rFonts w:ascii="Verdana" w:hAnsi="Verdana"/>
                <w:b w:val="0"/>
                <w:sz w:val="16"/>
              </w:rPr>
              <w:t>Densidad del vapor</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0 13 006</w:t>
            </w:r>
          </w:p>
        </w:tc>
        <w:tc>
          <w:tcPr>
            <w:tcW w:type="dxa" w:w="1514"/>
          </w:tcPr>
          <w:p>
            <w:pPr>
              <w:spacing w:before="20" w:after="20"/>
            </w:pPr>
            <w:r/>
            <w:r>
              <w:rPr>
                <w:rFonts w:ascii="Verdana" w:hAnsi="Verdana"/>
                <w:b w:val="0"/>
                <w:sz w:val="16"/>
              </w:rPr>
              <w:t>Alturas de mezcla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0 13 007</w:t>
            </w:r>
          </w:p>
        </w:tc>
        <w:tc>
          <w:tcPr>
            <w:tcW w:type="dxa" w:w="1514"/>
          </w:tcPr>
          <w:p>
            <w:pPr>
              <w:spacing w:before="20" w:after="20"/>
            </w:pPr>
            <w:r/>
            <w:r>
              <w:rPr>
                <w:rFonts w:ascii="Verdana" w:hAnsi="Verdana"/>
                <w:b w:val="0"/>
                <w:sz w:val="16"/>
              </w:rPr>
              <w:t>Humedad relativa mínima</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0 13 008</w:t>
            </w:r>
          </w:p>
        </w:tc>
        <w:tc>
          <w:tcPr>
            <w:tcW w:type="dxa" w:w="1514"/>
          </w:tcPr>
          <w:p>
            <w:pPr>
              <w:spacing w:before="20" w:after="20"/>
            </w:pPr>
            <w:r/>
            <w:r>
              <w:rPr>
                <w:rFonts w:ascii="Verdana" w:hAnsi="Verdana"/>
                <w:b w:val="0"/>
                <w:sz w:val="16"/>
              </w:rPr>
              <w:t>Humedad relativa máxima</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0 13 009</w:t>
            </w:r>
          </w:p>
        </w:tc>
        <w:tc>
          <w:tcPr>
            <w:tcW w:type="dxa" w:w="1514"/>
          </w:tcPr>
          <w:p>
            <w:pPr>
              <w:spacing w:before="20" w:after="20"/>
            </w:pPr>
            <w:r/>
            <w:r>
              <w:rPr>
                <w:rFonts w:ascii="Verdana" w:hAnsi="Verdana"/>
                <w:b w:val="0"/>
                <w:sz w:val="16"/>
              </w:rPr>
              <w:t>Humedad relativa</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39: Espectros no direccionales, (Ib = 0 en WAVEOB) o espectros direccionales parciales (Ib = 1 en WAVEOB con una dirección por número de onda). Conteo = 0 (espectros direccionales completos) o 1 (espectros no direccionales o espectros direccionales parciales). Los espectros direccionales parciales tienen una sola dirección por banda de número de onda.</w:t>
            </w:r>
          </w:p>
        </w:tc>
      </w:tr>
      <w:tr>
        <w:trPr>
          <w:cantSplit/>
        </w:trPr>
        <w:tc>
          <w:tcPr>
            <w:tcW w:type="dxa" w:w="1514"/>
          </w:tcPr>
          <w:p>
            <w:pPr>
              <w:spacing w:before="20" w:after="20"/>
            </w:pPr>
            <w:r/>
            <w:r>
              <w:rPr>
                <w:rFonts w:ascii="Verdana" w:hAnsi="Verdana"/>
                <w:b w:val="0"/>
                <w:sz w:val="16"/>
              </w:rPr>
              <w:t>0 13 011</w:t>
            </w:r>
          </w:p>
        </w:tc>
        <w:tc>
          <w:tcPr>
            <w:tcW w:type="dxa" w:w="1514"/>
          </w:tcPr>
          <w:p>
            <w:pPr>
              <w:spacing w:before="20" w:after="20"/>
            </w:pPr>
            <w:r/>
            <w:r>
              <w:rPr>
                <w:rFonts w:ascii="Verdana" w:hAnsi="Verdana"/>
                <w:b w:val="0"/>
                <w:sz w:val="16"/>
              </w:rPr>
              <w:t>Precipitación total/equivalente total en agua</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0 13 012</w:t>
            </w:r>
          </w:p>
        </w:tc>
        <w:tc>
          <w:tcPr>
            <w:tcW w:type="dxa" w:w="1514"/>
          </w:tcPr>
          <w:p>
            <w:pPr>
              <w:spacing w:before="20" w:after="20"/>
            </w:pPr>
            <w:r/>
            <w:r>
              <w:rPr>
                <w:rFonts w:ascii="Verdana" w:hAnsi="Verdana"/>
                <w:b w:val="0"/>
                <w:sz w:val="16"/>
              </w:rPr>
              <w:t>Espesor de la nieve recién caída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26: Si la radiosonda está equipada con un sensor de humedad relativa, 0 13 009 en la secuencia se notificará con carácter obligatorio y la temperatura del punto de rocío se podrá incluir como valor derivado. Si la radiosonda está equipada con un sensor de temperatura del punto de rocío, 0 12 103 en la secuencia se notificará y 0 13 009 se fijará en valor faltante.</w:t>
            </w:r>
          </w:p>
        </w:tc>
      </w:tr>
      <w:tr>
        <w:trPr>
          <w:cantSplit/>
        </w:trPr>
        <w:tc>
          <w:tcPr>
            <w:tcW w:type="dxa" w:w="1514"/>
          </w:tcPr>
          <w:p>
            <w:pPr>
              <w:spacing w:before="20" w:after="20"/>
            </w:pPr>
            <w:r/>
            <w:r>
              <w:rPr>
                <w:rFonts w:ascii="Verdana" w:hAnsi="Verdana"/>
                <w:b w:val="0"/>
                <w:sz w:val="16"/>
              </w:rPr>
              <w:t>0 13 013</w:t>
            </w:r>
          </w:p>
        </w:tc>
        <w:tc>
          <w:tcPr>
            <w:tcW w:type="dxa" w:w="1514"/>
          </w:tcPr>
          <w:p>
            <w:pPr>
              <w:spacing w:before="20" w:after="20"/>
            </w:pPr>
            <w:r/>
            <w:r>
              <w:rPr>
                <w:rFonts w:ascii="Verdana" w:hAnsi="Verdana"/>
                <w:b w:val="0"/>
                <w:sz w:val="16"/>
              </w:rPr>
              <w:t>Espesor total de la nieve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26: Si la radiosonda está equipada con un sensor de humedad relativa, 0 13 009 en la secuencia se notificará con carácter obligatorio y la temperatura del punto de rocío se podrá incluir como valor derivado. Si la radiosonda está equipada con un sensor de temperatura del punto de rocío, 0 12 103 en la secuencia se notificará y 0 13 009 se fijará en valor faltante.</w:t>
            </w:r>
          </w:p>
        </w:tc>
      </w:tr>
      <w:tr>
        <w:trPr>
          <w:cantSplit/>
        </w:trPr>
        <w:tc>
          <w:tcPr>
            <w:tcW w:type="dxa" w:w="1514"/>
          </w:tcPr>
          <w:p>
            <w:pPr>
              <w:spacing w:before="20" w:after="20"/>
            </w:pPr>
            <w:r/>
            <w:r>
              <w:rPr>
                <w:rFonts w:ascii="Verdana" w:hAnsi="Verdana"/>
                <w:b w:val="0"/>
                <w:sz w:val="16"/>
              </w:rPr>
              <w:t>0 13 014</w:t>
            </w:r>
          </w:p>
        </w:tc>
        <w:tc>
          <w:tcPr>
            <w:tcW w:type="dxa" w:w="1514"/>
          </w:tcPr>
          <w:p>
            <w:pPr>
              <w:spacing w:before="20" w:after="20"/>
            </w:pPr>
            <w:r/>
            <w:r>
              <w:rPr>
                <w:rFonts w:ascii="Verdana" w:hAnsi="Verdana"/>
                <w:b w:val="0"/>
                <w:sz w:val="16"/>
              </w:rPr>
              <w:t>Lluvia/equivalente en agua de nieve (valores medios)</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0 13 015</w:t>
            </w:r>
          </w:p>
        </w:tc>
        <w:tc>
          <w:tcPr>
            <w:tcW w:type="dxa" w:w="1514"/>
          </w:tcPr>
          <w:p>
            <w:pPr>
              <w:spacing w:before="20" w:after="20"/>
            </w:pPr>
            <w:r/>
            <w:r>
              <w:rPr>
                <w:rFonts w:ascii="Verdana" w:hAnsi="Verdana"/>
                <w:b w:val="0"/>
                <w:sz w:val="16"/>
              </w:rPr>
              <w:t>Nieve (valores medios)</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0 13 016</w:t>
            </w:r>
          </w:p>
        </w:tc>
        <w:tc>
          <w:tcPr>
            <w:tcW w:type="dxa" w:w="1514"/>
          </w:tcPr>
          <w:p>
            <w:pPr>
              <w:spacing w:before="20" w:after="20"/>
            </w:pPr>
            <w:r/>
            <w:r>
              <w:rPr>
                <w:rFonts w:ascii="Verdana" w:hAnsi="Verdana"/>
                <w:b w:val="0"/>
                <w:sz w:val="16"/>
              </w:rPr>
              <w:t>Agua precipitable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0 13 019</w:t>
            </w:r>
          </w:p>
        </w:tc>
        <w:tc>
          <w:tcPr>
            <w:tcW w:type="dxa" w:w="1514"/>
          </w:tcPr>
          <w:p>
            <w:pPr>
              <w:spacing w:before="20" w:after="20"/>
            </w:pPr>
            <w:r/>
            <w:r>
              <w:rPr>
                <w:rFonts w:ascii="Verdana" w:hAnsi="Verdana"/>
                <w:b w:val="0"/>
                <w:sz w:val="16"/>
              </w:rPr>
              <w:t>Precipitación total en el curso de la hora precedente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0 13 020</w:t>
            </w:r>
          </w:p>
        </w:tc>
        <w:tc>
          <w:tcPr>
            <w:tcW w:type="dxa" w:w="1514"/>
          </w:tcPr>
          <w:p>
            <w:pPr>
              <w:spacing w:before="20" w:after="20"/>
            </w:pPr>
            <w:r/>
            <w:r>
              <w:rPr>
                <w:rFonts w:ascii="Verdana" w:hAnsi="Verdana"/>
                <w:b w:val="0"/>
                <w:sz w:val="16"/>
              </w:rPr>
              <w:t>Precipitación total en el curso de las 3 horas precedentes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0 13 021</w:t>
            </w:r>
          </w:p>
        </w:tc>
        <w:tc>
          <w:tcPr>
            <w:tcW w:type="dxa" w:w="1514"/>
          </w:tcPr>
          <w:p>
            <w:pPr>
              <w:spacing w:before="20" w:after="20"/>
            </w:pPr>
            <w:r/>
            <w:r>
              <w:rPr>
                <w:rFonts w:ascii="Verdana" w:hAnsi="Verdana"/>
                <w:b w:val="0"/>
                <w:sz w:val="16"/>
              </w:rPr>
              <w:t>Precipitación total en el curso de las 6 horas precedentes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0 13 022</w:t>
            </w:r>
          </w:p>
        </w:tc>
        <w:tc>
          <w:tcPr>
            <w:tcW w:type="dxa" w:w="1514"/>
          </w:tcPr>
          <w:p>
            <w:pPr>
              <w:spacing w:before="20" w:after="20"/>
            </w:pPr>
            <w:r/>
            <w:r>
              <w:rPr>
                <w:rFonts w:ascii="Verdana" w:hAnsi="Verdana"/>
                <w:b w:val="0"/>
                <w:sz w:val="16"/>
              </w:rPr>
              <w:t>Precipitación total en el curso de las 12 horas precedentes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0 13 023</w:t>
            </w:r>
          </w:p>
        </w:tc>
        <w:tc>
          <w:tcPr>
            <w:tcW w:type="dxa" w:w="1514"/>
          </w:tcPr>
          <w:p>
            <w:pPr>
              <w:spacing w:before="20" w:after="20"/>
            </w:pPr>
            <w:r/>
            <w:r>
              <w:rPr>
                <w:rFonts w:ascii="Verdana" w:hAnsi="Verdana"/>
                <w:b w:val="0"/>
                <w:sz w:val="16"/>
              </w:rPr>
              <w:t>Precipitación total en el curso de las 24 horas precedentes</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0 13 031</w:t>
            </w:r>
          </w:p>
        </w:tc>
        <w:tc>
          <w:tcPr>
            <w:tcW w:type="dxa" w:w="1514"/>
          </w:tcPr>
          <w:p>
            <w:pPr>
              <w:spacing w:before="20" w:after="20"/>
            </w:pPr>
            <w:r/>
            <w:r>
              <w:rPr>
                <w:rFonts w:ascii="Verdana" w:hAnsi="Verdana"/>
                <w:b w:val="0"/>
                <w:sz w:val="16"/>
              </w:rPr>
              <w:t>Evapotranspiración</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0 13 032</w:t>
            </w:r>
          </w:p>
        </w:tc>
        <w:tc>
          <w:tcPr>
            <w:tcW w:type="dxa" w:w="1514"/>
          </w:tcPr>
          <w:p>
            <w:pPr>
              <w:spacing w:before="20" w:after="20"/>
            </w:pPr>
            <w:r/>
            <w:r>
              <w:rPr>
                <w:rFonts w:ascii="Verdana" w:hAnsi="Verdana"/>
                <w:b w:val="0"/>
                <w:sz w:val="16"/>
              </w:rPr>
              <w:t>Evaporación/evapotranspiración</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53: El descriptor 0 33 002 relativo a la información sobre la calidad está relacionado, en esta instancia, con el componente w 0 11 006. Se da para cada puerta respectiva de la medición del perfil.</w:t>
            </w:r>
          </w:p>
        </w:tc>
      </w:tr>
      <w:tr>
        <w:trPr>
          <w:cantSplit/>
        </w:trPr>
        <w:tc>
          <w:tcPr>
            <w:tcW w:type="dxa" w:w="1514"/>
          </w:tcPr>
          <w:p>
            <w:pPr>
              <w:spacing w:before="20" w:after="20"/>
            </w:pPr>
            <w:r/>
            <w:r>
              <w:rPr>
                <w:rFonts w:ascii="Verdana" w:hAnsi="Verdana"/>
                <w:b w:val="0"/>
                <w:sz w:val="16"/>
              </w:rPr>
              <w:t>0 13 033</w:t>
            </w:r>
          </w:p>
        </w:tc>
        <w:tc>
          <w:tcPr>
            <w:tcW w:type="dxa" w:w="1514"/>
          </w:tcPr>
          <w:p>
            <w:pPr>
              <w:spacing w:before="20" w:after="20"/>
            </w:pPr>
            <w:r/>
            <w:r>
              <w:rPr>
                <w:rFonts w:ascii="Verdana" w:hAnsi="Verdana"/>
                <w:b w:val="0"/>
                <w:sz w:val="16"/>
              </w:rPr>
              <w:t>Evaporación/evapotranspiración</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0 13 038</w:t>
            </w:r>
          </w:p>
        </w:tc>
        <w:tc>
          <w:tcPr>
            <w:tcW w:type="dxa" w:w="1514"/>
          </w:tcPr>
          <w:p>
            <w:pPr>
              <w:spacing w:before="20" w:after="20"/>
            </w:pPr>
            <w:r/>
            <w:r>
              <w:rPr>
                <w:rFonts w:ascii="Verdana" w:hAnsi="Verdana"/>
                <w:b w:val="0"/>
                <w:sz w:val="16"/>
              </w:rPr>
              <w:t>Indicador superadiabático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0 13 039</w:t>
            </w:r>
          </w:p>
        </w:tc>
        <w:tc>
          <w:tcPr>
            <w:tcW w:type="dxa" w:w="1514"/>
          </w:tcPr>
          <w:p>
            <w:pPr>
              <w:spacing w:before="20" w:after="20"/>
            </w:pPr>
            <w:r/>
            <w:r>
              <w:rPr>
                <w:rFonts w:ascii="Verdana" w:hAnsi="Verdana"/>
                <w:b w:val="0"/>
                <w:sz w:val="16"/>
              </w:rPr>
              <w:t>Tipo de terreno (hielo/nieve)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0 13 040</w:t>
            </w:r>
          </w:p>
        </w:tc>
        <w:tc>
          <w:tcPr>
            <w:tcW w:type="dxa" w:w="1514"/>
          </w:tcPr>
          <w:p>
            <w:pPr>
              <w:spacing w:before="20" w:after="20"/>
            </w:pPr>
            <w:r/>
            <w:r>
              <w:rPr>
                <w:rFonts w:ascii="Verdana" w:hAnsi="Verdana"/>
                <w:b w:val="0"/>
                <w:sz w:val="16"/>
              </w:rPr>
              <w:t>Banderín de superficie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0 13 041</w:t>
            </w:r>
          </w:p>
        </w:tc>
        <w:tc>
          <w:tcPr>
            <w:tcW w:type="dxa" w:w="1514"/>
          </w:tcPr>
          <w:p>
            <w:pPr>
              <w:spacing w:before="20" w:after="20"/>
            </w:pPr>
            <w:r/>
            <w:r>
              <w:rPr>
                <w:rFonts w:ascii="Verdana" w:hAnsi="Verdana"/>
                <w:b w:val="0"/>
                <w:sz w:val="16"/>
              </w:rPr>
              <w:t>Categoría de estabilidad de Pasquill-Gifford</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0 13 042</w:t>
            </w:r>
          </w:p>
        </w:tc>
        <w:tc>
          <w:tcPr>
            <w:tcW w:type="dxa" w:w="1514"/>
          </w:tcPr>
          <w:p>
            <w:pPr>
              <w:spacing w:before="20" w:after="20"/>
            </w:pPr>
            <w:r/>
            <w:r>
              <w:rPr>
                <w:rFonts w:ascii="Verdana" w:hAnsi="Verdana"/>
                <w:b w:val="0"/>
                <w:sz w:val="16"/>
              </w:rPr>
              <w:t>Índice de elevación de una partícula (a 500 hPa)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119: Los dos índices de elevación (0 13 042 y 0 13 043) se definen como diferencias de temperaturas, pudiendo dar resultados negativos, si bien la unidad elegida en ambos casos es el grado Kelvin; de ahí que el valor de referencia sea diferente de cero. | Note 130: El “índice de elevación de una partícula” (según la definición del Vocabulario Meteorológico Internacional (OMM–Nº 182)) se define como la diferencia entre la temperatura ambiente a 500 hPa (T500) y la de una partícula de aire en superficie (Tpartícula) elevada por el proceso adiabático del aire seco o del aire húmedo saturado. Hay inestabilidad cuando el resultado de la diferencia T500 – Tpartícula es negativo. El “índice de elevación óptimo” se define como el índice que representa la mayor inestabilidad en un conjunto de índices de elevación de una partícula, donde el estado inicial de la partícula se define como un conjunto de capas superpuestas de 30 hPa de grosor y la capa más baja está situada en la superficie. En general se utilizan para el cálculo de cuatro a seis capas.</w:t>
            </w:r>
          </w:p>
        </w:tc>
      </w:tr>
      <w:tr>
        <w:trPr>
          <w:cantSplit/>
        </w:trPr>
        <w:tc>
          <w:tcPr>
            <w:tcW w:type="dxa" w:w="1514"/>
          </w:tcPr>
          <w:p>
            <w:pPr>
              <w:spacing w:before="20" w:after="20"/>
            </w:pPr>
            <w:r/>
            <w:r>
              <w:rPr>
                <w:rFonts w:ascii="Verdana" w:hAnsi="Verdana"/>
                <w:b w:val="0"/>
                <w:sz w:val="16"/>
              </w:rPr>
              <w:t>0 13 043</w:t>
            </w:r>
          </w:p>
        </w:tc>
        <w:tc>
          <w:tcPr>
            <w:tcW w:type="dxa" w:w="1514"/>
          </w:tcPr>
          <w:p>
            <w:pPr>
              <w:spacing w:before="20" w:after="20"/>
            </w:pPr>
            <w:r/>
            <w:r>
              <w:rPr>
                <w:rFonts w:ascii="Verdana" w:hAnsi="Verdana"/>
                <w:b w:val="0"/>
                <w:sz w:val="16"/>
              </w:rPr>
              <w:t>Índice de elevación óptimo (a 500 hPa)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119: Los dos índices de elevación (0 13 042 y 0 13 043) se definen como diferencias de temperaturas, pudiendo dar resultados negativos, si bien la unidad elegida en ambos casos es el grado Kelvin; de ahí que el valor de referencia sea diferente de cero. | Note 130: El “índice de elevación de una partícula” (según la definición del Vocabulario Meteorológico Internacional (OMM–Nº 182)) se define como la diferencia entre la temperatura ambiente a 500 hPa (T500) y la de una partícula de aire en superficie (Tpartícula) elevada por el proceso adiabático del aire seco o del aire húmedo saturado. Hay inestabilidad cuando el resultado de la diferencia T500 – Tpartícula es negativo. El “índice de elevación óptimo” se define como el índice que representa la mayor inestabilidad en un conjunto de índices de elevación de una partícula, donde el estado inicial de la partícula se define como un conjunto de capas superpuestas de 30 hPa de grosor y la capa más baja está situada en la superficie. En general se utilizan para el cálculo de cuatro a seis capas.</w:t>
            </w:r>
          </w:p>
        </w:tc>
      </w:tr>
      <w:tr>
        <w:trPr>
          <w:cantSplit/>
        </w:trPr>
        <w:tc>
          <w:tcPr>
            <w:tcW w:type="dxa" w:w="1514"/>
          </w:tcPr>
          <w:p>
            <w:pPr>
              <w:spacing w:before="20" w:after="20"/>
            </w:pPr>
            <w:r/>
            <w:r>
              <w:rPr>
                <w:rFonts w:ascii="Verdana" w:hAnsi="Verdana"/>
                <w:b w:val="0"/>
                <w:sz w:val="16"/>
              </w:rPr>
              <w:t>0 13 044</w:t>
            </w:r>
          </w:p>
        </w:tc>
        <w:tc>
          <w:tcPr>
            <w:tcW w:type="dxa" w:w="1514"/>
          </w:tcPr>
          <w:p>
            <w:pPr>
              <w:spacing w:before="20" w:after="20"/>
            </w:pPr>
            <w:r/>
            <w:r>
              <w:rPr>
                <w:rFonts w:ascii="Verdana" w:hAnsi="Verdana"/>
                <w:b w:val="0"/>
                <w:sz w:val="16"/>
              </w:rPr>
              <w:t>Índice K</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0 13 045</w:t>
            </w:r>
          </w:p>
        </w:tc>
        <w:tc>
          <w:tcPr>
            <w:tcW w:type="dxa" w:w="1514"/>
          </w:tcPr>
          <w:p>
            <w:pPr>
              <w:spacing w:before="20" w:after="20"/>
            </w:pPr>
            <w:r/>
            <w:r>
              <w:rPr>
                <w:rFonts w:ascii="Verdana" w:hAnsi="Verdana"/>
                <w:b w:val="0"/>
                <w:sz w:val="16"/>
              </w:rPr>
              <w:t>Índice KO</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0 13 046</w:t>
            </w:r>
          </w:p>
        </w:tc>
        <w:tc>
          <w:tcPr>
            <w:tcW w:type="dxa" w:w="1514"/>
          </w:tcPr>
          <w:p>
            <w:pPr>
              <w:spacing w:before="20" w:after="20"/>
            </w:pPr>
            <w:r/>
            <w:r>
              <w:rPr>
                <w:rFonts w:ascii="Verdana" w:hAnsi="Verdana"/>
                <w:b w:val="0"/>
                <w:sz w:val="16"/>
              </w:rPr>
              <w:t>Flotabilidad máxima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0 13 047</w:t>
            </w:r>
          </w:p>
        </w:tc>
        <w:tc>
          <w:tcPr>
            <w:tcW w:type="dxa" w:w="1514"/>
          </w:tcPr>
          <w:p>
            <w:pPr>
              <w:spacing w:before="20" w:after="20"/>
            </w:pPr>
            <w:r/>
            <w:r>
              <w:rPr>
                <w:rFonts w:ascii="Verdana" w:hAnsi="Verdana"/>
                <w:b w:val="0"/>
                <w:sz w:val="16"/>
              </w:rPr>
              <w:t>Índice modificado de estabilidad de Showalter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129: El “Índice modificado de estabilidad de Showalter” se define como la diferencia de temperatura entre la temperatura ambiente a 500 hPa y la temperatura que tendrá una partícula de aire, inicialmente a un nivel de base seleccionado si se extrajese de su nivel de condensación para llevarla a la superficie de 500 hPa mediante un proceso adiabático del aire saturado. Los valores positivos denotan condiciones estables y los valores negativos condiciones inestables. El nivel de base es 850 hPa, 800 hPa o 750 hPa si la elevación de la estación es inferior a 1000, 1000 a 1400 o 1401 a 2000 gpm por encima del nivel medio del mar, respectivamente.</w:t>
            </w:r>
          </w:p>
        </w:tc>
      </w:tr>
      <w:tr>
        <w:trPr>
          <w:cantSplit/>
        </w:trPr>
        <w:tc>
          <w:tcPr>
            <w:tcW w:type="dxa" w:w="1514"/>
          </w:tcPr>
          <w:p>
            <w:pPr>
              <w:spacing w:before="20" w:after="20"/>
            </w:pPr>
            <w:r/>
            <w:r>
              <w:rPr>
                <w:rFonts w:ascii="Verdana" w:hAnsi="Verdana"/>
                <w:b w:val="0"/>
                <w:sz w:val="16"/>
              </w:rPr>
              <w:t>0 13 048</w:t>
            </w:r>
          </w:p>
        </w:tc>
        <w:tc>
          <w:tcPr>
            <w:tcW w:type="dxa" w:w="1514"/>
          </w:tcPr>
          <w:p>
            <w:pPr>
              <w:spacing w:before="20" w:after="20"/>
            </w:pPr>
            <w:r/>
            <w:r>
              <w:rPr>
                <w:rFonts w:ascii="Verdana" w:hAnsi="Verdana"/>
                <w:b w:val="0"/>
                <w:sz w:val="16"/>
              </w:rPr>
              <w:t>Fracción de agua</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0 13 051</w:t>
            </w:r>
          </w:p>
        </w:tc>
        <w:tc>
          <w:tcPr>
            <w:tcW w:type="dxa" w:w="1514"/>
          </w:tcPr>
          <w:p>
            <w:pPr>
              <w:spacing w:before="20" w:after="20"/>
            </w:pPr>
            <w:r/>
            <w:r>
              <w:rPr>
                <w:rFonts w:ascii="Verdana" w:hAnsi="Verdana"/>
                <w:b w:val="0"/>
                <w:sz w:val="16"/>
              </w:rPr>
              <w:t>Grupo de frecuencia, precipitación</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0 13 052</w:t>
            </w:r>
          </w:p>
        </w:tc>
        <w:tc>
          <w:tcPr>
            <w:tcW w:type="dxa" w:w="1514"/>
          </w:tcPr>
          <w:p>
            <w:pPr>
              <w:spacing w:before="20" w:after="20"/>
            </w:pPr>
            <w:r/>
            <w:r>
              <w:rPr>
                <w:rFonts w:ascii="Verdana" w:hAnsi="Verdana"/>
                <w:b w:val="0"/>
                <w:sz w:val="16"/>
              </w:rPr>
              <w:t>Cantidad máxima diaria de precipitación</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0 13 055</w:t>
            </w:r>
          </w:p>
        </w:tc>
        <w:tc>
          <w:tcPr>
            <w:tcW w:type="dxa" w:w="1514"/>
          </w:tcPr>
          <w:p>
            <w:pPr>
              <w:spacing w:before="20" w:after="20"/>
            </w:pPr>
            <w:r/>
            <w:r>
              <w:rPr>
                <w:rFonts w:ascii="Verdana" w:hAnsi="Verdana"/>
                <w:b w:val="0"/>
                <w:sz w:val="16"/>
              </w:rPr>
              <w:t>Intensidad de la precipitación</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mm h</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0 13 056</w:t>
            </w:r>
          </w:p>
        </w:tc>
        <w:tc>
          <w:tcPr>
            <w:tcW w:type="dxa" w:w="1514"/>
          </w:tcPr>
          <w:p>
            <w:pPr>
              <w:spacing w:before="20" w:after="20"/>
            </w:pPr>
            <w:r/>
            <w:r>
              <w:rPr>
                <w:rFonts w:ascii="Verdana" w:hAnsi="Verdana"/>
                <w:b w:val="0"/>
                <w:sz w:val="16"/>
              </w:rPr>
              <w:t>Naturaleza e intensidad de la precipitación</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0 13 057</w:t>
            </w:r>
          </w:p>
        </w:tc>
        <w:tc>
          <w:tcPr>
            <w:tcW w:type="dxa" w:w="1514"/>
          </w:tcPr>
          <w:p>
            <w:pPr>
              <w:spacing w:before="20" w:after="20"/>
            </w:pPr>
            <w:r/>
            <w:r>
              <w:rPr>
                <w:rFonts w:ascii="Verdana" w:hAnsi="Verdana"/>
                <w:b w:val="0"/>
                <w:sz w:val="16"/>
              </w:rPr>
              <w:t>Hora de comienzo o fin de la precipitación</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0 13 058</w:t>
            </w:r>
          </w:p>
        </w:tc>
        <w:tc>
          <w:tcPr>
            <w:tcW w:type="dxa" w:w="1514"/>
          </w:tcPr>
          <w:p>
            <w:pPr>
              <w:spacing w:before="20" w:after="20"/>
            </w:pPr>
            <w:r/>
            <w:r>
              <w:rPr>
                <w:rFonts w:ascii="Verdana" w:hAnsi="Verdana"/>
                <w:b w:val="0"/>
                <w:sz w:val="16"/>
              </w:rPr>
              <w:t>Tamaño del elemento de la precipitación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mm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0 13 059</w:t>
            </w:r>
          </w:p>
        </w:tc>
        <w:tc>
          <w:tcPr>
            <w:tcW w:type="dxa" w:w="1514"/>
          </w:tcPr>
          <w:p>
            <w:pPr>
              <w:spacing w:before="20" w:after="20"/>
            </w:pPr>
            <w:r/>
            <w:r>
              <w:rPr>
                <w:rFonts w:ascii="Verdana" w:hAnsi="Verdana"/>
                <w:b w:val="0"/>
                <w:sz w:val="16"/>
              </w:rPr>
              <w:t>Número de relámpagos (tormenta)</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0 13 060</w:t>
            </w:r>
          </w:p>
        </w:tc>
        <w:tc>
          <w:tcPr>
            <w:tcW w:type="dxa" w:w="1514"/>
          </w:tcPr>
          <w:p>
            <w:pPr>
              <w:spacing w:before="20" w:after="20"/>
            </w:pPr>
            <w:r/>
            <w:r>
              <w:rPr>
                <w:rFonts w:ascii="Verdana" w:hAnsi="Verdana"/>
                <w:b w:val="0"/>
                <w:sz w:val="16"/>
              </w:rPr>
              <w:t>Precipitación total acumulada</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0 13 071</w:t>
            </w:r>
          </w:p>
        </w:tc>
        <w:tc>
          <w:tcPr>
            <w:tcW w:type="dxa" w:w="1514"/>
          </w:tcPr>
          <w:p>
            <w:pPr>
              <w:spacing w:before="20" w:after="20"/>
            </w:pPr>
            <w:r/>
            <w:r>
              <w:rPr>
                <w:rFonts w:ascii="Verdana" w:hAnsi="Verdana"/>
                <w:b w:val="0"/>
                <w:sz w:val="16"/>
              </w:rPr>
              <w:t>Nivel del agua aguas arriba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0 13 072</w:t>
            </w:r>
          </w:p>
        </w:tc>
        <w:tc>
          <w:tcPr>
            <w:tcW w:type="dxa" w:w="1514"/>
          </w:tcPr>
          <w:p>
            <w:pPr>
              <w:spacing w:before="20" w:after="20"/>
            </w:pPr>
            <w:r/>
            <w:r>
              <w:rPr>
                <w:rFonts w:ascii="Verdana" w:hAnsi="Verdana"/>
                <w:b w:val="0"/>
                <w:sz w:val="16"/>
              </w:rPr>
              <w:t>Nivel del agua aguas abajo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0 13 073</w:t>
            </w:r>
          </w:p>
        </w:tc>
        <w:tc>
          <w:tcPr>
            <w:tcW w:type="dxa" w:w="1514"/>
          </w:tcPr>
          <w:p>
            <w:pPr>
              <w:spacing w:before="20" w:after="20"/>
            </w:pPr>
            <w:r/>
            <w:r>
              <w:rPr>
                <w:rFonts w:ascii="Verdana" w:hAnsi="Verdana"/>
                <w:b w:val="0"/>
                <w:sz w:val="16"/>
              </w:rPr>
              <w:t>Nivel máximo del agua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0 13 074</w:t>
            </w:r>
          </w:p>
        </w:tc>
        <w:tc>
          <w:tcPr>
            <w:tcW w:type="dxa" w:w="1514"/>
          </w:tcPr>
          <w:p>
            <w:pPr>
              <w:spacing w:before="20" w:after="20"/>
            </w:pPr>
            <w:r/>
            <w:r>
              <w:rPr>
                <w:rFonts w:ascii="Verdana" w:hAnsi="Verdana"/>
                <w:b w:val="0"/>
                <w:sz w:val="16"/>
              </w:rPr>
              <w:t>Nivel de agua subterránea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0 13 080</w:t>
            </w:r>
          </w:p>
        </w:tc>
        <w:tc>
          <w:tcPr>
            <w:tcW w:type="dxa" w:w="1514"/>
          </w:tcPr>
          <w:p>
            <w:pPr>
              <w:spacing w:before="20" w:after="20"/>
            </w:pPr>
            <w:r/>
            <w:r>
              <w:rPr>
                <w:rFonts w:ascii="Verdana" w:hAnsi="Verdana"/>
                <w:b w:val="0"/>
                <w:sz w:val="16"/>
              </w:rPr>
              <w:t>pH del agua</w:t>
            </w:r>
          </w:p>
        </w:tc>
        <w:tc>
          <w:tcPr>
            <w:tcW w:type="dxa" w:w="1514"/>
          </w:tcPr>
          <w:p>
            <w:pPr>
              <w:spacing w:before="20" w:after="20"/>
            </w:pPr>
            <w:r/>
            <w:r>
              <w:rPr>
                <w:rFonts w:ascii="Verdana" w:hAnsi="Verdana"/>
                <w:sz w:val="16"/>
              </w:rPr>
              <w:t>Unidades pH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Unidades pH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0 13 081</w:t>
            </w:r>
          </w:p>
        </w:tc>
        <w:tc>
          <w:tcPr>
            <w:tcW w:type="dxa" w:w="1514"/>
          </w:tcPr>
          <w:p>
            <w:pPr>
              <w:spacing w:before="20" w:after="20"/>
            </w:pPr>
            <w:r/>
            <w:r>
              <w:rPr>
                <w:rFonts w:ascii="Verdana" w:hAnsi="Verdana"/>
                <w:b w:val="0"/>
                <w:sz w:val="16"/>
              </w:rPr>
              <w:t>Conductividad del agua</w:t>
            </w:r>
          </w:p>
        </w:tc>
        <w:tc>
          <w:tcPr>
            <w:tcW w:type="dxa" w:w="1514"/>
          </w:tcPr>
          <w:p>
            <w:pPr>
              <w:spacing w:before="20" w:after="20"/>
            </w:pPr>
            <w:r/>
            <w:r>
              <w:rPr>
                <w:rFonts w:ascii="Verdana" w:hAnsi="Verdana"/>
                <w:sz w:val="16"/>
              </w:rPr>
              <w:t>S m</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 m</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0 13 082</w:t>
            </w:r>
          </w:p>
        </w:tc>
        <w:tc>
          <w:tcPr>
            <w:tcW w:type="dxa" w:w="1514"/>
          </w:tcPr>
          <w:p>
            <w:pPr>
              <w:spacing w:before="20" w:after="20"/>
            </w:pPr>
            <w:r/>
            <w:r>
              <w:rPr>
                <w:rFonts w:ascii="Verdana" w:hAnsi="Verdana"/>
                <w:b w:val="0"/>
                <w:sz w:val="16"/>
              </w:rPr>
              <w:t>Temperatura del agua</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0 13 083</w:t>
            </w:r>
          </w:p>
        </w:tc>
        <w:tc>
          <w:tcPr>
            <w:tcW w:type="dxa" w:w="1514"/>
          </w:tcPr>
          <w:p>
            <w:pPr>
              <w:spacing w:before="20" w:after="20"/>
            </w:pPr>
            <w:r/>
            <w:r>
              <w:rPr>
                <w:rFonts w:ascii="Verdana" w:hAnsi="Verdana"/>
                <w:b w:val="0"/>
                <w:sz w:val="16"/>
              </w:rPr>
              <w:t>Oxígeno disuelto</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0 13 084</w:t>
            </w:r>
          </w:p>
        </w:tc>
        <w:tc>
          <w:tcPr>
            <w:tcW w:type="dxa" w:w="1514"/>
          </w:tcPr>
          <w:p>
            <w:pPr>
              <w:spacing w:before="20" w:after="20"/>
            </w:pPr>
            <w:r/>
            <w:r>
              <w:rPr>
                <w:rFonts w:ascii="Verdana" w:hAnsi="Verdana"/>
                <w:b w:val="0"/>
                <w:sz w:val="16"/>
              </w:rPr>
              <w:t>Turbiedad</w:t>
            </w:r>
          </w:p>
        </w:tc>
        <w:tc>
          <w:tcPr>
            <w:tcW w:type="dxa" w:w="1514"/>
          </w:tcPr>
          <w:p>
            <w:pPr>
              <w:spacing w:before="20" w:after="20"/>
            </w:pPr>
            <w:r/>
            <w:r>
              <w:rPr>
                <w:rFonts w:ascii="Verdana" w:hAnsi="Verdana"/>
                <w:sz w:val="16"/>
              </w:rPr>
              <w:t>Lumen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Lumen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0 13 085</w:t>
            </w:r>
          </w:p>
        </w:tc>
        <w:tc>
          <w:tcPr>
            <w:tcW w:type="dxa" w:w="1514"/>
          </w:tcPr>
          <w:p>
            <w:pPr>
              <w:spacing w:before="20" w:after="20"/>
            </w:pPr>
            <w:r/>
            <w:r>
              <w:rPr>
                <w:rFonts w:ascii="Verdana" w:hAnsi="Verdana"/>
                <w:b w:val="0"/>
                <w:sz w:val="16"/>
              </w:rPr>
              <w:t>Potencial de reducción de oxidación (ORP)</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0 13 090</w:t>
            </w:r>
          </w:p>
        </w:tc>
        <w:tc>
          <w:tcPr>
            <w:tcW w:type="dxa" w:w="1514"/>
          </w:tcPr>
          <w:p>
            <w:pPr>
              <w:spacing w:before="20" w:after="20"/>
            </w:pPr>
            <w:r/>
            <w:r>
              <w:rPr>
                <w:rFonts w:ascii="Verdana" w:hAnsi="Verdana"/>
                <w:b w:val="0"/>
                <w:sz w:val="16"/>
              </w:rPr>
              <w:t>Contenido en vapor de agua radiométrico</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0 13 091</w:t>
            </w:r>
          </w:p>
        </w:tc>
        <w:tc>
          <w:tcPr>
            <w:tcW w:type="dxa" w:w="1514"/>
          </w:tcPr>
          <w:p>
            <w:pPr>
              <w:spacing w:before="20" w:after="20"/>
            </w:pPr>
            <w:r/>
            <w:r>
              <w:rPr>
                <w:rFonts w:ascii="Verdana" w:hAnsi="Verdana"/>
                <w:b w:val="0"/>
                <w:sz w:val="16"/>
              </w:rPr>
              <w:t>Contenido líquido radiométrico</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0 13 093</w:t>
            </w:r>
          </w:p>
        </w:tc>
        <w:tc>
          <w:tcPr>
            <w:tcW w:type="dxa" w:w="1514"/>
          </w:tcPr>
          <w:p>
            <w:pPr>
              <w:spacing w:before="20" w:after="20"/>
            </w:pPr>
            <w:r/>
            <w:r>
              <w:rPr>
                <w:rFonts w:ascii="Verdana" w:hAnsi="Verdana"/>
                <w:b w:val="0"/>
                <w:sz w:val="16"/>
              </w:rPr>
              <w:t>Espesor óptico de la nube</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0 13 095</w:t>
            </w:r>
          </w:p>
        </w:tc>
        <w:tc>
          <w:tcPr>
            <w:tcW w:type="dxa" w:w="1514"/>
          </w:tcPr>
          <w:p>
            <w:pPr>
              <w:spacing w:before="20" w:after="20"/>
            </w:pPr>
            <w:r/>
            <w:r>
              <w:rPr>
                <w:rFonts w:ascii="Verdana" w:hAnsi="Verdana"/>
                <w:b w:val="0"/>
                <w:sz w:val="16"/>
              </w:rPr>
              <w:t>Vapor de agua total en columna</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0 13 096</w:t>
            </w:r>
          </w:p>
        </w:tc>
        <w:tc>
          <w:tcPr>
            <w:tcW w:type="dxa" w:w="1514"/>
          </w:tcPr>
          <w:p>
            <w:pPr>
              <w:spacing w:before="20" w:after="20"/>
            </w:pPr>
            <w:r/>
            <w:r>
              <w:rPr>
                <w:rFonts w:ascii="Verdana" w:hAnsi="Verdana"/>
                <w:b w:val="0"/>
                <w:sz w:val="16"/>
              </w:rPr>
              <w:t>Contenido de vapor de agua según MWR</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0 13 097</w:t>
            </w:r>
          </w:p>
        </w:tc>
        <w:tc>
          <w:tcPr>
            <w:tcW w:type="dxa" w:w="1514"/>
          </w:tcPr>
          <w:p>
            <w:pPr>
              <w:spacing w:before="20" w:after="20"/>
            </w:pPr>
            <w:r/>
            <w:r>
              <w:rPr>
                <w:rFonts w:ascii="Verdana" w:hAnsi="Verdana"/>
                <w:b w:val="0"/>
                <w:sz w:val="16"/>
              </w:rPr>
              <w:t>Contenido de agua líquida según MWR</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0 13 098</w:t>
            </w:r>
          </w:p>
        </w:tc>
        <w:tc>
          <w:tcPr>
            <w:tcW w:type="dxa" w:w="1514"/>
          </w:tcPr>
          <w:p>
            <w:pPr>
              <w:spacing w:before="20" w:after="20"/>
            </w:pPr>
            <w:r/>
            <w:r>
              <w:rPr>
                <w:rFonts w:ascii="Verdana" w:hAnsi="Verdana"/>
                <w:b w:val="0"/>
                <w:sz w:val="16"/>
              </w:rPr>
              <w:t>Densidad de vapor de agua integrada</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0 13 099</w:t>
            </w:r>
          </w:p>
        </w:tc>
        <w:tc>
          <w:tcPr>
            <w:tcW w:type="dxa" w:w="1514"/>
          </w:tcPr>
          <w:p>
            <w:pPr>
              <w:spacing w:before="20" w:after="20"/>
            </w:pPr>
            <w:r/>
            <w:r>
              <w:rPr>
                <w:rFonts w:ascii="Verdana" w:hAnsi="Verdana"/>
                <w:b w:val="0"/>
                <w:sz w:val="16"/>
              </w:rPr>
              <w:t>Log10 de la densidad de partículas de nube integrada</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log(m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0 13 100</w:t>
            </w:r>
          </w:p>
        </w:tc>
        <w:tc>
          <w:tcPr>
            <w:tcW w:type="dxa" w:w="1514"/>
          </w:tcPr>
          <w:p>
            <w:pPr>
              <w:spacing w:before="20" w:after="20"/>
            </w:pPr>
            <w:r/>
            <w:r>
              <w:rPr>
                <w:rFonts w:ascii="Verdana" w:hAnsi="Verdana"/>
                <w:b w:val="0"/>
                <w:sz w:val="16"/>
              </w:rPr>
              <w:t>Log10 del área de partículas de nube integrada</w:t>
            </w:r>
          </w:p>
        </w:tc>
        <w:tc>
          <w:tcPr>
            <w:tcW w:type="dxa" w:w="1514"/>
          </w:tcPr>
          <w:p>
            <w:pPr>
              <w:spacing w:before="20" w:after="20"/>
            </w:pPr>
            <w:r/>
            <w:r>
              <w:rPr>
                <w:rFonts w:ascii="Verdana" w:hAnsi="Verdana"/>
                <w:sz w:val="16"/>
              </w:rPr>
              <w:t>log(m²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-70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log(m²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0 13 101</w:t>
            </w:r>
          </w:p>
        </w:tc>
        <w:tc>
          <w:tcPr>
            <w:tcW w:type="dxa" w:w="1514"/>
          </w:tcPr>
          <w:p>
            <w:pPr>
              <w:spacing w:before="20" w:after="20"/>
            </w:pPr>
            <w:r/>
            <w:r>
              <w:rPr>
                <w:rFonts w:ascii="Verdana" w:hAnsi="Verdana"/>
                <w:b w:val="0"/>
                <w:sz w:val="16"/>
              </w:rPr>
              <w:t>Log10 del volumen de partículas de nube integrado</w:t>
            </w:r>
          </w:p>
        </w:tc>
        <w:tc>
          <w:tcPr>
            <w:tcW w:type="dxa" w:w="1514"/>
          </w:tcPr>
          <w:p>
            <w:pPr>
              <w:spacing w:before="20" w:after="20"/>
            </w:pPr>
            <w:r/>
            <w:r>
              <w:rPr>
                <w:rFonts w:ascii="Verdana" w:hAnsi="Verdana"/>
                <w:sz w:val="16"/>
              </w:rPr>
              <w:t>log(m³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-140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log(m³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0 13 109</w:t>
            </w:r>
          </w:p>
        </w:tc>
        <w:tc>
          <w:tcPr>
            <w:tcW w:type="dxa" w:w="1514"/>
          </w:tcPr>
          <w:p>
            <w:pPr>
              <w:spacing w:before="20" w:after="20"/>
            </w:pPr>
            <w:r/>
            <w:r>
              <w:rPr>
                <w:rFonts w:ascii="Verdana" w:hAnsi="Verdana"/>
                <w:b w:val="0"/>
                <w:sz w:val="16"/>
              </w:rPr>
              <w:t>Trayectoria del agua helada/líquida</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0 13 110</w:t>
            </w:r>
          </w:p>
        </w:tc>
        <w:tc>
          <w:tcPr>
            <w:tcW w:type="dxa" w:w="1514"/>
          </w:tcPr>
          <w:p>
            <w:pPr>
              <w:spacing w:before="20" w:after="20"/>
            </w:pPr>
            <w:r/>
            <w:r>
              <w:rPr>
                <w:rFonts w:ascii="Verdana" w:hAnsi="Verdana"/>
                <w:b w:val="0"/>
                <w:sz w:val="16"/>
              </w:rPr>
              <w:t>Cociente de mezclado de masa</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0 13 111</w:t>
            </w:r>
          </w:p>
        </w:tc>
        <w:tc>
          <w:tcPr>
            <w:tcW w:type="dxa" w:w="1514"/>
          </w:tcPr>
          <w:p>
            <w:pPr>
              <w:spacing w:before="20" w:after="20"/>
            </w:pPr>
            <w:r/>
            <w:r>
              <w:rPr>
                <w:rFonts w:ascii="Verdana" w:hAnsi="Verdana"/>
                <w:b w:val="0"/>
                <w:sz w:val="16"/>
              </w:rPr>
              <w:t>Humedad del suelo</w:t>
            </w:r>
          </w:p>
        </w:tc>
        <w:tc>
          <w:tcPr>
            <w:tcW w:type="dxa" w:w="1514"/>
          </w:tcPr>
          <w:p>
            <w:pPr>
              <w:spacing w:before="20" w:after="20"/>
            </w:pPr>
            <w:r/>
            <w:r>
              <w:rPr>
                <w:rFonts w:ascii="Verdana" w:hAnsi="Verdana"/>
                <w:sz w:val="16"/>
              </w:rPr>
              <w:t>g kg</w:t>
            </w:r>
            <w:r>
              <w:rPr>
                <w:rFonts w:ascii="Verdana" w:hAnsi="Verdana"/>
                <w:sz w:val="16"/>
                <w:vertAlign w:val="superscript"/>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g kg</w:t>
            </w:r>
            <w:r>
              <w:rPr>
                <w:rFonts w:ascii="Verdana" w:hAnsi="Verdana"/>
                <w:sz w:val="16"/>
                <w:vertAlign w:val="superscript"/>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0 13 112</w:t>
            </w:r>
          </w:p>
        </w:tc>
        <w:tc>
          <w:tcPr>
            <w:tcW w:type="dxa" w:w="1514"/>
          </w:tcPr>
          <w:p>
            <w:pPr>
              <w:spacing w:before="20" w:after="20"/>
            </w:pPr>
            <w:r/>
            <w:r>
              <w:rPr>
                <w:rFonts w:ascii="Verdana" w:hAnsi="Verdana"/>
                <w:b w:val="0"/>
                <w:sz w:val="16"/>
              </w:rPr>
              <w:t>Duración de la humedad del objeto</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0 13 114</w:t>
            </w:r>
          </w:p>
        </w:tc>
        <w:tc>
          <w:tcPr>
            <w:tcW w:type="dxa" w:w="1514"/>
          </w:tcPr>
          <w:p>
            <w:pPr>
              <w:spacing w:before="20" w:after="20"/>
            </w:pPr>
            <w:r/>
            <w:r>
              <w:rPr>
                <w:rFonts w:ascii="Verdana" w:hAnsi="Verdana"/>
                <w:b w:val="0"/>
                <w:sz w:val="16"/>
              </w:rPr>
              <w:t>Tasa de acreción de hielo</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h</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h</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0 13 115</w:t>
            </w:r>
          </w:p>
        </w:tc>
        <w:tc>
          <w:tcPr>
            <w:tcW w:type="dxa" w:w="1514"/>
          </w:tcPr>
          <w:p>
            <w:pPr>
              <w:spacing w:before="20" w:after="20"/>
            </w:pPr>
            <w:r/>
            <w:r>
              <w:rPr>
                <w:rFonts w:ascii="Verdana" w:hAnsi="Verdana"/>
                <w:b w:val="0"/>
                <w:sz w:val="16"/>
              </w:rPr>
              <w:t>Espesor del hielo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88: El espesor de hielo (0 13 115) irá precedido del tipo de superficie (0 08 029) y fijado en 11, 12, 13 o 14 para especificar si se trata de un río, un lago, un mar o un glaciar, respectivamente.</w:t>
            </w:r>
          </w:p>
        </w:tc>
      </w:tr>
      <w:tr>
        <w:trPr>
          <w:cantSplit/>
        </w:trPr>
        <w:tc>
          <w:tcPr>
            <w:tcW w:type="dxa" w:w="1514"/>
          </w:tcPr>
          <w:p>
            <w:pPr>
              <w:spacing w:before="20" w:after="20"/>
            </w:pPr>
            <w:r/>
            <w:r>
              <w:rPr>
                <w:rFonts w:ascii="Verdana" w:hAnsi="Verdana"/>
                <w:b w:val="0"/>
                <w:sz w:val="16"/>
              </w:rPr>
              <w:t>0 13 116</w:t>
            </w:r>
          </w:p>
        </w:tc>
        <w:tc>
          <w:tcPr>
            <w:tcW w:type="dxa" w:w="1514"/>
          </w:tcPr>
          <w:p>
            <w:pPr>
              <w:spacing w:before="20" w:after="20"/>
            </w:pPr>
            <w:r/>
            <w:r>
              <w:rPr>
                <w:rFonts w:ascii="Verdana" w:hAnsi="Verdana"/>
                <w:b w:val="0"/>
                <w:sz w:val="16"/>
              </w:rPr>
              <w:t>Espesor de la lámina de agua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0 13 117</w:t>
            </w:r>
          </w:p>
        </w:tc>
        <w:tc>
          <w:tcPr>
            <w:tcW w:type="dxa" w:w="1514"/>
          </w:tcPr>
          <w:p>
            <w:pPr>
              <w:spacing w:before="20" w:after="20"/>
            </w:pPr>
            <w:r/>
            <w:r>
              <w:rPr>
                <w:rFonts w:ascii="Verdana" w:hAnsi="Verdana"/>
                <w:b w:val="0"/>
                <w:sz w:val="16"/>
              </w:rPr>
              <w:t>Densidad de la nieve (contenido de agua líquida)</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0 13 118</w:t>
            </w:r>
          </w:p>
        </w:tc>
        <w:tc>
          <w:tcPr>
            <w:tcW w:type="dxa" w:w="1514"/>
          </w:tcPr>
          <w:p>
            <w:pPr>
              <w:spacing w:before="20" w:after="20"/>
            </w:pPr>
            <w:r/>
            <w:r>
              <w:rPr>
                <w:rFonts w:ascii="Verdana" w:hAnsi="Verdana"/>
                <w:b w:val="0"/>
                <w:sz w:val="16"/>
              </w:rPr>
              <w:t>Espesor de nieve fresca (gran precisión)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41: Normalmente 1, puede ser 2 si están en uso los sensores de elevación y de pendiente, o 0 si no hay datos espectrales.</w:t>
            </w:r>
          </w:p>
        </w:tc>
      </w:tr>
      <w:tr>
        <w:trPr>
          <w:cantSplit/>
        </w:trPr>
        <w:tc>
          <w:tcPr>
            <w:tcW w:type="dxa" w:w="1514"/>
          </w:tcPr>
          <w:p>
            <w:pPr>
              <w:spacing w:before="20" w:after="20"/>
            </w:pPr>
            <w:r/>
            <w:r>
              <w:rPr>
                <w:rFonts w:ascii="Verdana" w:hAnsi="Verdana"/>
                <w:b w:val="0"/>
                <w:sz w:val="16"/>
              </w:rPr>
              <w:t>0 13 155</w:t>
            </w:r>
          </w:p>
        </w:tc>
        <w:tc>
          <w:tcPr>
            <w:tcW w:type="dxa" w:w="1514"/>
          </w:tcPr>
          <w:p>
            <w:pPr>
              <w:spacing w:before="20" w:after="20"/>
            </w:pPr>
            <w:r/>
            <w:r>
              <w:rPr>
                <w:rFonts w:ascii="Verdana" w:hAnsi="Verdana"/>
                <w:b w:val="0"/>
                <w:sz w:val="16"/>
              </w:rPr>
              <w:t>Intensidad de la precipitación (gran precisión)</w:t>
            </w:r>
          </w:p>
        </w:tc>
        <w:tc>
          <w:tcPr>
            <w:tcW w:type="dxa" w:w="1514"/>
          </w:tcPr>
          <w:p>
            <w:pPr>
              <w:spacing w:before="20" w:after="20"/>
            </w:pPr>
            <w:r/>
            <w:r>
              <w:rPr>
                <w:rFonts w:ascii="Verdana" w:hAnsi="Verdana"/>
                <w:sz w:val="16"/>
              </w:rPr>
              <w:t>kg m</w:t>
            </w:r>
            <w:r>
              <w:rPr>
                <w:rFonts w:ascii="Verdana" w:hAnsi="Verdana"/>
                <w:sz w:val="16"/>
                <w:vertAlign w:val="superscript"/>
              </w:rPr>
              <w:t>-2</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mm h</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28: En el contexto del descriptor 3 10 067, los valores de presión que siguen inmediatamente a la aparición de componentes de viento deben entenderse como correspondientes a esos componentes.</w:t>
            </w:r>
          </w:p>
        </w:tc>
      </w:tr>
      <w:tr>
        <w:trPr>
          <w:cantSplit/>
        </w:trPr>
        <w:tc>
          <w:tcPr>
            <w:tcW w:type="dxa" w:w="1514"/>
          </w:tcPr>
          <w:p>
            <w:pPr>
              <w:spacing w:before="20" w:after="20"/>
            </w:pPr>
            <w:r/>
            <w:r>
              <w:rPr>
                <w:rFonts w:ascii="Verdana" w:hAnsi="Verdana"/>
                <w:b w:val="0"/>
                <w:sz w:val="16"/>
              </w:rPr>
              <w:t>0 13 160</w:t>
            </w:r>
          </w:p>
        </w:tc>
        <w:tc>
          <w:tcPr>
            <w:tcW w:type="dxa" w:w="1514"/>
          </w:tcPr>
          <w:p>
            <w:pPr>
              <w:spacing w:before="20" w:after="20"/>
            </w:pPr>
            <w:r/>
            <w:r>
              <w:rPr>
                <w:rFonts w:ascii="Verdana" w:hAnsi="Verdana"/>
                <w:b w:val="0"/>
                <w:sz w:val="16"/>
              </w:rPr>
              <w:t>Contenido líquido radiométrico</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-350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0 13 162</w:t>
            </w:r>
          </w:p>
        </w:tc>
        <w:tc>
          <w:tcPr>
            <w:tcW w:type="dxa" w:w="1514"/>
          </w:tcPr>
          <w:p>
            <w:pPr>
              <w:spacing w:before="20" w:after="20"/>
            </w:pPr>
            <w:r/>
            <w:r>
              <w:rPr>
                <w:rFonts w:ascii="Verdana" w:hAnsi="Verdana"/>
                <w:b w:val="0"/>
                <w:sz w:val="16"/>
              </w:rPr>
              <w:t>Agua líquida en la nube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0 13 163</w:t>
            </w:r>
          </w:p>
        </w:tc>
        <w:tc>
          <w:tcPr>
            <w:tcW w:type="dxa" w:w="1514"/>
          </w:tcPr>
          <w:p>
            <w:pPr>
              <w:spacing w:before="20" w:after="20"/>
            </w:pPr>
            <w:r/>
            <w:r>
              <w:rPr>
                <w:rFonts w:ascii="Verdana" w:hAnsi="Verdana"/>
                <w:b w:val="0"/>
                <w:sz w:val="16"/>
              </w:rPr>
              <w:t>Equivalente en agua de la nieve</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0 13 164</w:t>
            </w:r>
          </w:p>
        </w:tc>
        <w:tc>
          <w:tcPr>
            <w:tcW w:type="dxa" w:w="1514"/>
          </w:tcPr>
          <w:p>
            <w:pPr>
              <w:spacing w:before="20" w:after="20"/>
            </w:pPr>
            <w:r/>
            <w:r>
              <w:rPr>
                <w:rFonts w:ascii="Verdana" w:hAnsi="Verdana"/>
                <w:b w:val="0"/>
                <w:sz w:val="16"/>
              </w:rPr>
              <w:t>Francobordo del hielo marino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-131072</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bl>
    <w:p/>
    <w:p>
      <w:r>
        <w:rPr>
          <w:rFonts w:ascii="Verdana" w:hAnsi="Verdana"/>
          <w:i/>
          <w:sz w:val="14"/>
        </w:rPr>
        <w:t>Note 23: El valor –0,1 kg m–2 antes de la aplicación del factor de escala (–1 después de su aplicación o en la clave CREX) indicará “trazas” (no mensurable, menos de 0,05 kg m–2).</w:t>
      </w:r>
    </w:p>
    <w:p>
      <w:r>
        <w:rPr>
          <w:rFonts w:ascii="Verdana" w:hAnsi="Verdana"/>
          <w:i/>
          <w:sz w:val="14"/>
        </w:rPr>
        <w:t>Note 25: Una significación definida anteriormente puede anularse transmitiendo un “valor faltante” a partir de la tabla de cifrado o de banderines apropiada.</w:t>
      </w:r>
    </w:p>
    <w:p>
      <w:r>
        <w:rPr>
          <w:rFonts w:ascii="Verdana" w:hAnsi="Verdana"/>
          <w:i/>
          <w:sz w:val="14"/>
        </w:rPr>
        <w:t>Note 27: Todas las horas están expresadas en Tiempo Universal Coordinado (UTC), a menos que se indique lo contrario. I.2 – BUFR/CREX Tabla B/04 – 3</w:t>
      </w:r>
    </w:p>
    <w:p>
      <w:r>
        <w:rPr>
          <w:rFonts w:ascii="Verdana" w:hAnsi="Verdana"/>
          <w:i/>
          <w:sz w:val="14"/>
        </w:rPr>
        <w:t>Note 32: Solo se indicará el rumbo o azimut en relación con la localización comunicada que no volverá a especificarse.</w:t>
      </w:r>
    </w:p>
    <w:p>
      <w:r>
        <w:rPr>
          <w:rFonts w:ascii="Verdana" w:hAnsi="Verdana"/>
          <w:i/>
          <w:sz w:val="14"/>
        </w:rPr>
        <w:t>Note 62: Tan solo se indicará la distancia en relación con la localización comunicada y el rumbo, azimut o elevación y no se volverá a especificar esta localización.</w:t>
      </w:r>
    </w:p>
    <w:p>
      <w:r>
        <w:rPr>
          <w:rFonts w:ascii="Verdana" w:hAnsi="Verdana"/>
          <w:i/>
          <w:sz w:val="14"/>
        </w:rPr>
        <w:t>Note 63: Se asignarán valores positivos a la radiación descendente.</w:t>
      </w:r>
    </w:p>
    <w:p>
      <w:r>
        <w:rPr>
          <w:rFonts w:ascii="Verdana" w:hAnsi="Verdana"/>
          <w:i/>
          <w:sz w:val="14"/>
        </w:rPr>
        <w:t>Note 64: Se asignarán valores positivos a los componentes descendentes w cuando las unidades sean Pa s –1.</w:t>
      </w:r>
    </w:p>
    <w:p>
      <w:r>
        <w:rPr>
          <w:rFonts w:ascii="Verdana" w:hAnsi="Verdana"/>
          <w:i/>
          <w:sz w:val="14"/>
        </w:rPr>
        <w:t>Note 66: Se asignarán valores negativos a los incrementos este-oeste.</w:t>
      </w:r>
    </w:p>
    <w:p>
      <w:r>
        <w:rPr>
          <w:rFonts w:ascii="Verdana" w:hAnsi="Verdana"/>
          <w:i/>
          <w:sz w:val="14"/>
        </w:rPr>
        <w:t>Note 75: Para los descriptores CREX F = B, no 0.</w:t>
      </w:r>
    </w:p>
    <w:p>
      <w:r>
        <w:rPr>
          <w:rFonts w:ascii="Verdana" w:hAnsi="Verdana"/>
          <w:i/>
          <w:sz w:val="14"/>
        </w:rPr>
        <w:t>Note 92: Para distinguir claramente los casos de datos faltantes y de píxeles saturados, los datos de imagen de n bits deberían cifrarse utilizando una anchura de datos de n + 1. Si tal descriptor no está disponible ya en la Clase 30, debería utilizarse un descriptor de operación 2 01 YYY para modificar la anchura de datos de la entrada existente, si fuese necesario. I.2 – BUFR/CREX Tabla B/30 – 1</w:t>
      </w:r>
    </w:p>
    <w:p>
      <w:r>
        <w:rPr>
          <w:rFonts w:ascii="Verdana" w:hAnsi="Verdana"/>
          <w:i/>
          <w:sz w:val="14"/>
        </w:rPr>
        <w:t>Note 105: Para indicar períodos de tiempo o desplazamientos que preceden al tiempo definido actualmente se emplearán períodos de tiempo negativos o desplazamientos.</w:t>
      </w:r>
    </w:p>
    <w:p>
      <w:r>
        <w:rPr>
          <w:rFonts w:ascii="Verdana" w:hAnsi="Verdana"/>
          <w:i/>
          <w:sz w:val="14"/>
        </w:rPr>
        <w:t>Note 110: Se asignarán valores negativos a los incrementos norte-sur.</w:t>
      </w:r>
    </w:p>
    <w:p>
      <w:r>
        <w:rPr>
          <w:rFonts w:ascii="Verdana" w:hAnsi="Verdana"/>
          <w:i/>
          <w:sz w:val="14"/>
        </w:rPr>
        <w:t>Note 115: La anchura de datos de los píxeles puede cambiarse mediante el descriptor 2 01 YYY.</w:t>
      </w:r>
    </w:p>
    <w:p>
      <w:r>
        <w:rPr>
          <w:rFonts w:ascii="Verdana" w:hAnsi="Verdana"/>
          <w:i/>
          <w:sz w:val="14"/>
        </w:rPr>
        <w:t>Note 121: En relación con determinados elementos de esta clase, pueden consignarse algunas indicaciones sobre la precisión prevista.</w:t>
      </w:r>
    </w:p>
    <w:p>
      <w:r>
        <w:rPr>
          <w:rFonts w:ascii="Verdana" w:hAnsi="Verdana"/>
          <w:i/>
          <w:sz w:val="14"/>
        </w:rPr>
        <w:t>Note 122: Se asignarán valores negativos a la latitud sur.</w:t>
      </w:r>
    </w:p>
    <w:p>
      <w:r>
        <w:rPr>
          <w:rFonts w:ascii="Verdana" w:hAnsi="Verdana"/>
          <w:i/>
          <w:sz w:val="14"/>
        </w:rPr>
        <w:t>Note 123: Se asignarán valores positivos a los componentes v en sentido sur–norte.</w:t>
      </w:r>
    </w:p>
    <w:p>
      <w:r>
        <w:rPr>
          <w:rFonts w:ascii="Verdana" w:hAnsi="Verdana"/>
          <w:i/>
          <w:sz w:val="14"/>
        </w:rPr>
        <w:t>Note 126: Los informes sobre la dirección del viento de superficie resultantes de mediciones dentro del 1° del Polo Norte o del Polo Sur se notificarán de manera que el cero de su acimut esté alineado, coincidiendo con los 0° del meridiano de Greenwich. I.2 – BUFR/CREX Tabla B/11 – 6</w:t>
      </w:r>
    </w:p>
    <w:p>
      <w:r>
        <w:rPr>
          <w:rFonts w:ascii="Verdana" w:hAnsi="Verdana"/>
          <w:i/>
          <w:sz w:val="14"/>
        </w:rPr>
        <w:t>Note 140: El tamaño del píxel en la horizontal – 1 está dado por la posición donde el factor de escala del mapa es igual a la unidad.</w:t>
      </w:r>
    </w:p>
    <w:p>
      <w:r>
        <w:rPr>
          <w:rFonts w:ascii="Verdana" w:hAnsi="Verdana"/>
          <w:i/>
          <w:sz w:val="14"/>
        </w:rPr>
        <w:t>Note 141: El tamaño del píxel en la horizontal – 2 está dado por la posición donde el factor de escala del mapa es igual a la unidad.</w:t>
      </w:r>
    </w:p>
    <w:p>
      <w:r>
        <w:rPr>
          <w:rFonts w:ascii="Verdana" w:hAnsi="Verdana"/>
          <w:i/>
          <w:sz w:val="14"/>
        </w:rPr>
        <w:t>Note 145: La significación de los períodos o desplazamientos de tiempo se puede indicar utilizando la clave de significación del tiempo correspondiente a la referencia de tabla 0 08 021.</w:t>
      </w:r>
    </w:p>
    <w:p>
      <w:r>
        <w:rPr>
          <w:rFonts w:ascii="Verdana" w:hAnsi="Verdana"/>
          <w:i/>
          <w:sz w:val="14"/>
        </w:rPr>
        <w:t>Note 149: La localización del tiempo, cuando se utiliza con valores de predicción, indicará la hora del estado inicial de la predicción o el comienzo del período de predicción; cuando se utilice con promedios de conjunto de valores de predicción, la localización del tiempo indicará el estado inicial o el comienzo de la primera predicción de las que se obtienen los valores medios de conjunto</w:t>
      </w:r>
    </w:p>
    <w:p>
      <w:r>
        <w:rPr>
          <w:rFonts w:ascii="Verdana" w:hAnsi="Verdana"/>
          <w:i/>
          <w:sz w:val="14"/>
        </w:rPr>
        <w:t>Note 155: Esta clase también puede contener elementos relativos a los procedimientos de observación.</w:t>
      </w:r>
    </w:p>
    <w:p>
      <w:r>
        <w:rPr>
          <w:rFonts w:ascii="Verdana" w:hAnsi="Verdana"/>
          <w:i/>
          <w:sz w:val="14"/>
        </w:rPr>
        <w:t>Note 156: Esta clase incluirá elementos que describen los instrumentos que se utilizan para obtener los elementos meteorológicos transmitidos.</w:t>
      </w:r>
    </w:p>
    <w:p>
      <w:r>
        <w:rPr>
          <w:rFonts w:ascii="Verdana" w:hAnsi="Verdana"/>
          <w:i/>
          <w:sz w:val="14"/>
        </w:rPr>
        <w:t>Note 158: Respecto a los períodos o desplazamientos de tiempo, e incrementos de tiempo, será necesario determinar la localización inicial del tiempo antes de utilizarlos, y a continuación, según corresponda, se indicará la definición y significación del tiempo.</w:t>
      </w:r>
    </w:p>
    <w:p>
      <w:r>
        <w:rPr>
          <w:rFonts w:ascii="Verdana" w:hAnsi="Verdana"/>
          <w:i/>
          <w:sz w:val="14"/>
        </w:rPr>
        <w:t>Note 160: Se asignarán valores negativos a la radiación ascendente.</w:t>
      </w:r>
    </w:p>
    <w:p>
      <w:r>
        <w:rPr>
          <w:rFonts w:ascii="Verdana" w:hAnsi="Verdana"/>
          <w:i/>
          <w:sz w:val="14"/>
        </w:rPr>
        <w:t>Note 161: Se asignarán valores positivos a los componentes ascendentes w cuando las unidades sean m s–1.</w:t>
      </w:r>
    </w:p>
    <w:p>
      <w:r>
        <w:rPr>
          <w:rFonts w:ascii="Verdana" w:hAnsi="Verdana"/>
          <w:i/>
          <w:sz w:val="14"/>
        </w:rPr>
        <w:t>Note 162: Intervalos útiles utilizados: de 1011 Bq a 1019 Bq para emisiones; de 10–2 Bq a 107 Bq y de 10–2 mSv a 107 mSv para concentraciones y dosis.</w:t>
      </w:r>
    </w:p>
    <w:p>
      <w:r>
        <w:rPr>
          <w:rFonts w:ascii="Verdana" w:hAnsi="Verdana"/>
          <w:i/>
          <w:sz w:val="14"/>
        </w:rPr>
        <w:t>Note 163: Los valores de la latitud y de los incrementos de latitud quedan comprendidos entre –90 grados y +90 grados.</w:t>
      </w:r>
    </w:p>
    <w:p>
      <w:r>
        <w:rPr>
          <w:rFonts w:ascii="Verdana" w:hAnsi="Verdana"/>
          <w:i/>
          <w:sz w:val="14"/>
        </w:rPr>
        <w:t>Note 164: Los valores de longitud quedarán comprendidos entre –180 grados y +180 grados.</w:t>
      </w:r>
    </w:p>
    <w:p>
      <w:r>
        <w:rPr>
          <w:rFonts w:ascii="Verdana" w:hAnsi="Verdana"/>
          <w:i/>
          <w:sz w:val="14"/>
        </w:rPr>
        <w:t>Note 165: Se indicarán los elementos verticales y la presión para determinar los valores de estos elementos con independencia del elemento o variable que indique la coordenada vertical.</w:t>
      </w:r>
    </w:p>
    <w:p>
      <w:r>
        <w:rPr>
          <w:rFonts w:ascii="Verdana" w:hAnsi="Verdana"/>
          <w:i/>
          <w:sz w:val="14"/>
        </w:rPr>
        <w:t>Note 166: Se asignarán valores negativos a la longitud oeste.</w:t>
      </w:r>
    </w:p>
    <w:p>
      <w:r>
        <w:rPr>
          <w:rFonts w:ascii="Verdana" w:hAnsi="Verdana"/>
          <w:i/>
          <w:sz w:val="14"/>
        </w:rPr>
        <w:t>Note 167: Se asignarán valores positivos a los componentes u en sentido oeste–este.</w:t>
      </w:r>
    </w:p>
    <w:p>
      <w:r>
        <w:rPr>
          <w:rFonts w:ascii="Verdana" w:hAnsi="Verdana"/>
          <w:i/>
          <w:sz w:val="14"/>
        </w:rPr>
        <w:t>Note 176: Cuando sea necesario indicar más de un período o desplazamiento de tiempo para hacer indicaciones de tiempo complejas se definirán en sucesión inmediata en el siguiente orden: período conjunto (según corresponda), seguido por el período de predicción (según corresponda), seguido por el período de promedio o acumulación (según corresponda).</w:t>
      </w:r>
    </w:p>
    <w:p>
      <w:r>
        <w:rPr>
          <w:rFonts w:ascii="Verdana" w:hAnsi="Verdana"/>
          <w:i/>
          <w:sz w:val="14"/>
        </w:rPr>
        <w:t>Note 178: Cuando se indique la expresión “período determinado” en la columna “nombre del elemento”, deberá indicarse el período correspondiente, utilizando referencias de la Clase 04.</w:t>
      </w:r>
    </w:p>
    <w:p>
      <w:r>
        <w:rPr>
          <w:rFonts w:ascii="Verdana" w:hAnsi="Verdana"/>
          <w:i/>
          <w:sz w:val="14"/>
        </w:rPr>
        <w:t>Note 179: Cuando se acumulen o promedien los valores (por ejemplo en relación con un determinado período de tiempo), el número total de valores de los que se obtienen los valores acumulados o promediados podrán representarse utilizando la referencia 0 08 022.</w:t>
      </w:r>
    </w:p>
    <w:p>
      <w:r>
        <w:rPr>
          <w:rFonts w:ascii="Verdana" w:hAnsi="Verdana"/>
          <w:i/>
          <w:sz w:val="14"/>
        </w:rPr>
        <w:t>Note 180: Normas para la información sobre vientos: Velocidad Dirección Valor faltante Valor faltante Calma 0 0 Observación normal &gt;0 1°–360° Velocidad solamente &gt;0 Valor faltante Dirección solamente Valor faltante 1°–360° “Ligero y variable” &gt;0 0 No hay observaciones</w:t>
      </w:r>
    </w:p>
    <w:p>
      <w:r>
        <w:rPr>
          <w:rFonts w:ascii="Verdana" w:hAnsi="Verdana"/>
          <w:i/>
          <w:sz w:val="14"/>
        </w:rPr>
        <w:t>Note 181: Normas de notificación sobre mar de viento y olas: Observación Velocidad Dirección Ninguna observación faltante faltante Calma 0 0 Observación normal &gt;0 1–360 Velocidad únicamente &gt;0 faltante Dirección únicamente faltante 1–360 &gt;0 0 “Ligero y variable”</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