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20: Fenómenos observados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0 20 001</w:t>
            </w:r>
          </w:p>
        </w:tc>
        <w:tc>
          <w:tcPr>
            <w:tcW w:type="dxa" w:w="1514"/>
          </w:tcPr>
          <w:p>
            <w:pPr>
              <w:spacing w:before="20" w:after="20"/>
            </w:pPr>
            <w:r/>
            <w:r>
              <w:rPr>
                <w:rFonts w:ascii="Verdana" w:hAnsi="Verdana"/>
                <w:b w:val="0"/>
                <w:sz w:val="16"/>
              </w:rPr>
              <w:t>Visibilidad horizontal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0 20 002</w:t>
            </w:r>
          </w:p>
        </w:tc>
        <w:tc>
          <w:tcPr>
            <w:tcW w:type="dxa" w:w="1514"/>
          </w:tcPr>
          <w:p>
            <w:pPr>
              <w:spacing w:before="20" w:after="20"/>
            </w:pPr>
            <w:r/>
            <w:r>
              <w:rPr>
                <w:rFonts w:ascii="Verdana" w:hAnsi="Verdana"/>
                <w:b w:val="0"/>
                <w:sz w:val="16"/>
              </w:rPr>
              <w:t>Visibilidad vertical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0 20 003</w:t>
            </w:r>
          </w:p>
        </w:tc>
        <w:tc>
          <w:tcPr>
            <w:tcW w:type="dxa" w:w="1514"/>
          </w:tcPr>
          <w:p>
            <w:pPr>
              <w:spacing w:before="20" w:after="20"/>
            </w:pPr>
            <w:r/>
            <w:r>
              <w:rPr>
                <w:rFonts w:ascii="Verdana" w:hAnsi="Verdana"/>
                <w:b w:val="0"/>
                <w:sz w:val="16"/>
              </w:rPr>
              <w:t>Tiempo presente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172: Para cifrar el tiempo presente notificado desde una estación meteorológica automática debería usarse y preferirse la combinación de los descriptores 0 20 021, 0 20 022, 0 20 023, 0 20 024, 0 20 025, 0 20 026 y 0 20 027. El descriptor 0 20 003 debería utilizarse únicamente cuando no sean aplicables los descriptores mencionados más arriba.</w:t>
            </w:r>
          </w:p>
        </w:tc>
      </w:tr>
      <w:tr>
        <w:trPr>
          <w:cantSplit/>
        </w:trPr>
        <w:tc>
          <w:tcPr>
            <w:tcW w:type="dxa" w:w="1514"/>
          </w:tcPr>
          <w:p>
            <w:pPr>
              <w:spacing w:before="20" w:after="20"/>
            </w:pPr>
            <w:r/>
            <w:r>
              <w:rPr>
                <w:rFonts w:ascii="Verdana" w:hAnsi="Verdana"/>
                <w:b w:val="0"/>
                <w:sz w:val="16"/>
              </w:rPr>
              <w:t>0 20 004</w:t>
            </w:r>
          </w:p>
        </w:tc>
        <w:tc>
          <w:tcPr>
            <w:tcW w:type="dxa" w:w="1514"/>
          </w:tcPr>
          <w:p>
            <w:pPr>
              <w:spacing w:before="20" w:after="20"/>
            </w:pPr>
            <w:r/>
            <w:r>
              <w:rPr>
                <w:rFonts w:ascii="Verdana" w:hAnsi="Verdana"/>
                <w:b w:val="0"/>
                <w:sz w:val="16"/>
              </w:rPr>
              <w:t>Tiempo pasado 1)</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171: Para cifrar el tiempo pasado con datos procedentes de una estación meteorológica automática debería usarse y preferirse la combinación de los descriptores 0 20 021, 0 20 022, 0 20 023, 0 20 024, 0 20 025, 0 20 026 y 0 20 027. Los descriptores 0 20 004 o 0 20 005 deberían utilizarse únicamente cuando no sean aplicables los descriptores mencionados más arriba.</w:t>
            </w:r>
          </w:p>
        </w:tc>
      </w:tr>
      <w:tr>
        <w:trPr>
          <w:cantSplit/>
        </w:trPr>
        <w:tc>
          <w:tcPr>
            <w:tcW w:type="dxa" w:w="1514"/>
          </w:tcPr>
          <w:p>
            <w:pPr>
              <w:spacing w:before="20" w:after="20"/>
            </w:pPr>
            <w:r/>
            <w:r>
              <w:rPr>
                <w:rFonts w:ascii="Verdana" w:hAnsi="Verdana"/>
                <w:b w:val="0"/>
                <w:sz w:val="16"/>
              </w:rPr>
              <w:t>0 20 005</w:t>
            </w:r>
          </w:p>
        </w:tc>
        <w:tc>
          <w:tcPr>
            <w:tcW w:type="dxa" w:w="1514"/>
          </w:tcPr>
          <w:p>
            <w:pPr>
              <w:spacing w:before="20" w:after="20"/>
            </w:pPr>
            <w:r/>
            <w:r>
              <w:rPr>
                <w:rFonts w:ascii="Verdana" w:hAnsi="Verdana"/>
                <w:b w:val="0"/>
                <w:sz w:val="16"/>
              </w:rPr>
              <w:t>Tiempo pasado 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171: Para cifrar el tiempo pasado con datos procedentes de una estación meteorológica automática debería usarse y preferirse la combinación de los descriptores 0 20 021, 0 20 022, 0 20 023, 0 20 024, 0 20 025, 0 20 026 y 0 20 027. Los descriptores 0 20 004 o 0 20 005 deberían utilizarse únicamente cuando no sean aplicables los descriptores mencionados más arriba.</w:t>
            </w:r>
          </w:p>
        </w:tc>
      </w:tr>
      <w:tr>
        <w:trPr>
          <w:cantSplit/>
        </w:trPr>
        <w:tc>
          <w:tcPr>
            <w:tcW w:type="dxa" w:w="1514"/>
          </w:tcPr>
          <w:p>
            <w:pPr>
              <w:spacing w:before="20" w:after="20"/>
            </w:pPr>
            <w:r/>
            <w:r>
              <w:rPr>
                <w:rFonts w:ascii="Verdana" w:hAnsi="Verdana"/>
                <w:b w:val="0"/>
                <w:sz w:val="16"/>
              </w:rPr>
              <w:t>0 20 006</w:t>
            </w:r>
          </w:p>
        </w:tc>
        <w:tc>
          <w:tcPr>
            <w:tcW w:type="dxa" w:w="1514"/>
          </w:tcPr>
          <w:p>
            <w:pPr>
              <w:spacing w:before="20" w:after="20"/>
            </w:pPr>
            <w:r/>
            <w:r>
              <w:rPr>
                <w:rFonts w:ascii="Verdana" w:hAnsi="Verdana"/>
                <w:b w:val="0"/>
                <w:sz w:val="16"/>
              </w:rPr>
              <w:t>Reglas de vuelo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0 20 008</w:t>
            </w:r>
          </w:p>
        </w:tc>
        <w:tc>
          <w:tcPr>
            <w:tcW w:type="dxa" w:w="1514"/>
          </w:tcPr>
          <w:p>
            <w:pPr>
              <w:spacing w:before="20" w:after="20"/>
            </w:pPr>
            <w:r/>
            <w:r>
              <w:rPr>
                <w:rFonts w:ascii="Verdana" w:hAnsi="Verdana"/>
                <w:b w:val="0"/>
                <w:sz w:val="16"/>
              </w:rPr>
              <w:t>Distribución de las nubes para la aviación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0 20 009</w:t>
            </w:r>
          </w:p>
        </w:tc>
        <w:tc>
          <w:tcPr>
            <w:tcW w:type="dxa" w:w="1514"/>
          </w:tcPr>
          <w:p>
            <w:pPr>
              <w:spacing w:before="20" w:after="20"/>
            </w:pPr>
            <w:r/>
            <w:r>
              <w:rPr>
                <w:rFonts w:ascii="Verdana" w:hAnsi="Verdana"/>
                <w:b w:val="0"/>
                <w:sz w:val="16"/>
              </w:rPr>
              <w:t>Indicador general del tiempo (TAF/METAR)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0 20 010</w:t>
            </w:r>
          </w:p>
        </w:tc>
        <w:tc>
          <w:tcPr>
            <w:tcW w:type="dxa" w:w="1514"/>
          </w:tcPr>
          <w:p>
            <w:pPr>
              <w:spacing w:before="20" w:after="20"/>
            </w:pPr>
            <w:r/>
            <w:r>
              <w:rPr>
                <w:rFonts w:ascii="Verdana" w:hAnsi="Verdana"/>
                <w:b w:val="0"/>
                <w:sz w:val="16"/>
              </w:rPr>
              <w:t>Cubierta de nubes (total)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20: Tratándose de MOD OCNL SEV se empleará la cifra 12 (máxima en cielo despejado) o 13 (máxima en nubes).</w:t>
            </w:r>
          </w:p>
        </w:tc>
      </w:tr>
      <w:tr>
        <w:trPr>
          <w:cantSplit/>
        </w:trPr>
        <w:tc>
          <w:tcPr>
            <w:tcW w:type="dxa" w:w="1514"/>
          </w:tcPr>
          <w:p>
            <w:pPr>
              <w:spacing w:before="20" w:after="20"/>
            </w:pPr>
            <w:r/>
            <w:r>
              <w:rPr>
                <w:rFonts w:ascii="Verdana" w:hAnsi="Verdana"/>
                <w:b w:val="0"/>
                <w:sz w:val="16"/>
              </w:rPr>
              <w:t>0 20 011</w:t>
            </w:r>
          </w:p>
        </w:tc>
        <w:tc>
          <w:tcPr>
            <w:tcW w:type="dxa" w:w="1514"/>
          </w:tcPr>
          <w:p>
            <w:pPr>
              <w:spacing w:before="20" w:after="20"/>
            </w:pPr>
            <w:r/>
            <w:r>
              <w:rPr>
                <w:rFonts w:ascii="Verdana" w:hAnsi="Verdana"/>
                <w:b w:val="0"/>
                <w:sz w:val="16"/>
              </w:rPr>
              <w:t>Nubosidad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0 20 012</w:t>
            </w:r>
          </w:p>
        </w:tc>
        <w:tc>
          <w:tcPr>
            <w:tcW w:type="dxa" w:w="1514"/>
          </w:tcPr>
          <w:p>
            <w:pPr>
              <w:spacing w:before="20" w:after="20"/>
            </w:pPr>
            <w:r/>
            <w:r>
              <w:rPr>
                <w:rFonts w:ascii="Verdana" w:hAnsi="Verdana"/>
                <w:b w:val="0"/>
                <w:sz w:val="16"/>
              </w:rPr>
              <w:t>Tipo de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0 20 013</w:t>
            </w:r>
          </w:p>
        </w:tc>
        <w:tc>
          <w:tcPr>
            <w:tcW w:type="dxa" w:w="1514"/>
          </w:tcPr>
          <w:p>
            <w:pPr>
              <w:spacing w:before="20" w:after="20"/>
            </w:pPr>
            <w:r/>
            <w:r>
              <w:rPr>
                <w:rFonts w:ascii="Verdana" w:hAnsi="Verdana"/>
                <w:b w:val="0"/>
                <w:sz w:val="16"/>
              </w:rPr>
              <w:t>Altura de la base de las nubes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170: Cuando se cifre la altura de la base de las nubes entre 20 050 y 21 000 m, el valor de 0 20 013 se cifrará en 20 050; cuando se cifre la altura de la base de las nubes por encima de 21 000, el valor de 0 20 013 se cifrará en 20 060.</w:t>
            </w:r>
          </w:p>
        </w:tc>
      </w:tr>
      <w:tr>
        <w:trPr>
          <w:cantSplit/>
        </w:trPr>
        <w:tc>
          <w:tcPr>
            <w:tcW w:type="dxa" w:w="1514"/>
          </w:tcPr>
          <w:p>
            <w:pPr>
              <w:spacing w:before="20" w:after="20"/>
            </w:pPr>
            <w:r/>
            <w:r>
              <w:rPr>
                <w:rFonts w:ascii="Verdana" w:hAnsi="Verdana"/>
                <w:b w:val="0"/>
                <w:sz w:val="16"/>
              </w:rPr>
              <w:t>0 20 014</w:t>
            </w:r>
          </w:p>
        </w:tc>
        <w:tc>
          <w:tcPr>
            <w:tcW w:type="dxa" w:w="1514"/>
          </w:tcPr>
          <w:p>
            <w:pPr>
              <w:spacing w:before="20" w:after="20"/>
            </w:pPr>
            <w:r/>
            <w:r>
              <w:rPr>
                <w:rFonts w:ascii="Verdana" w:hAnsi="Verdana"/>
                <w:b w:val="0"/>
                <w:sz w:val="16"/>
              </w:rPr>
              <w:t>Altura de la cima de las nubes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0 20 015</w:t>
            </w:r>
          </w:p>
        </w:tc>
        <w:tc>
          <w:tcPr>
            <w:tcW w:type="dxa" w:w="1514"/>
          </w:tcPr>
          <w:p>
            <w:pPr>
              <w:spacing w:before="20" w:after="20"/>
            </w:pPr>
            <w:r/>
            <w:r>
              <w:rPr>
                <w:rFonts w:ascii="Verdana" w:hAnsi="Verdana"/>
                <w:b w:val="0"/>
                <w:sz w:val="16"/>
              </w:rPr>
              <w:t>Presión en la base de las nubes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0 20 016</w:t>
            </w:r>
          </w:p>
        </w:tc>
        <w:tc>
          <w:tcPr>
            <w:tcW w:type="dxa" w:w="1514"/>
          </w:tcPr>
          <w:p>
            <w:pPr>
              <w:spacing w:before="20" w:after="20"/>
            </w:pPr>
            <w:r/>
            <w:r>
              <w:rPr>
                <w:rFonts w:ascii="Verdana" w:hAnsi="Verdana"/>
                <w:b w:val="0"/>
                <w:sz w:val="16"/>
              </w:rPr>
              <w:t>Presión en la cima de las nubes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0 20 017</w:t>
            </w:r>
          </w:p>
        </w:tc>
        <w:tc>
          <w:tcPr>
            <w:tcW w:type="dxa" w:w="1514"/>
          </w:tcPr>
          <w:p>
            <w:pPr>
              <w:spacing w:before="20" w:after="20"/>
            </w:pPr>
            <w:r/>
            <w:r>
              <w:rPr>
                <w:rFonts w:ascii="Verdana" w:hAnsi="Verdana"/>
                <w:b w:val="0"/>
                <w:sz w:val="16"/>
              </w:rPr>
              <w:t>Descripción de la cima de las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0 20 018</w:t>
            </w:r>
          </w:p>
        </w:tc>
        <w:tc>
          <w:tcPr>
            <w:tcW w:type="dxa" w:w="1514"/>
          </w:tcPr>
          <w:p>
            <w:pPr>
              <w:spacing w:before="20" w:after="20"/>
            </w:pPr>
            <w:r/>
            <w:r>
              <w:rPr>
                <w:rFonts w:ascii="Verdana" w:hAnsi="Verdana"/>
                <w:b w:val="0"/>
                <w:sz w:val="16"/>
              </w:rPr>
              <w:t>Tendencia del alcance visual en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0 20 019</w:t>
            </w:r>
          </w:p>
        </w:tc>
        <w:tc>
          <w:tcPr>
            <w:tcW w:type="dxa" w:w="1514"/>
          </w:tcPr>
          <w:p>
            <w:pPr>
              <w:spacing w:before="20" w:after="20"/>
            </w:pPr>
            <w:r/>
            <w:r>
              <w:rPr>
                <w:rFonts w:ascii="Verdana" w:hAnsi="Verdana"/>
                <w:b w:val="0"/>
                <w:sz w:val="16"/>
              </w:rPr>
              <w:t>Tiempo significativo presente o previsto</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72</w:t>
            </w:r>
          </w:p>
        </w:tc>
        <w:tc>
          <w:tcPr>
            <w:tcW w:type="dxa" w:w="1514"/>
          </w:tcPr>
          <w:p>
            <w:pPr>
              <w:spacing w:before="20" w:after="20"/>
            </w:pPr>
            <w:r/>
            <w:r>
              <w:rPr>
                <w:rFonts w:ascii="Verdana" w:hAnsi="Verdana"/>
                <w:sz w:val="16"/>
              </w:rPr>
              <w:t>Carácter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118: Los descriptores de tiempo significativo presente o previsto (0 20 019) y de fenómenos meteorológicos recientes (0 20 020) se usarán de conformidad con la Tabla de cifrado 4678 (referencia: Manual de claves (OMM-Nº 306), volumen I.1).</w:t>
            </w:r>
          </w:p>
        </w:tc>
      </w:tr>
      <w:tr>
        <w:trPr>
          <w:cantSplit/>
        </w:trPr>
        <w:tc>
          <w:tcPr>
            <w:tcW w:type="dxa" w:w="1514"/>
          </w:tcPr>
          <w:p>
            <w:pPr>
              <w:spacing w:before="20" w:after="20"/>
            </w:pPr>
            <w:r/>
            <w:r>
              <w:rPr>
                <w:rFonts w:ascii="Verdana" w:hAnsi="Verdana"/>
                <w:b w:val="0"/>
                <w:sz w:val="16"/>
              </w:rPr>
              <w:t>0 20 020</w:t>
            </w:r>
          </w:p>
        </w:tc>
        <w:tc>
          <w:tcPr>
            <w:tcW w:type="dxa" w:w="1514"/>
          </w:tcPr>
          <w:p>
            <w:pPr>
              <w:spacing w:before="20" w:after="20"/>
            </w:pPr>
            <w:r/>
            <w:r>
              <w:rPr>
                <w:rFonts w:ascii="Verdana" w:hAnsi="Verdana"/>
                <w:b w:val="0"/>
                <w:sz w:val="16"/>
              </w:rPr>
              <w:t>Fenómenos meteorológicos recientes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Carácter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118: Los descriptores de tiempo significativo presente o previsto (0 20 019) y de fenómenos meteorológicos recientes (0 20 020) se usarán de conformidad con la Tabla de cifrado 4678 (referencia: Manual de claves (OMM-Nº 306), volumen I.1).</w:t>
            </w:r>
          </w:p>
        </w:tc>
      </w:tr>
      <w:tr>
        <w:trPr>
          <w:cantSplit/>
        </w:trPr>
        <w:tc>
          <w:tcPr>
            <w:tcW w:type="dxa" w:w="1514"/>
          </w:tcPr>
          <w:p>
            <w:pPr>
              <w:spacing w:before="20" w:after="20"/>
            </w:pPr>
            <w:r/>
            <w:r>
              <w:rPr>
                <w:rFonts w:ascii="Verdana" w:hAnsi="Verdana"/>
                <w:b w:val="0"/>
                <w:sz w:val="16"/>
              </w:rPr>
              <w:t>0 20 021</w:t>
            </w:r>
          </w:p>
        </w:tc>
        <w:tc>
          <w:tcPr>
            <w:tcW w:type="dxa" w:w="1514"/>
          </w:tcPr>
          <w:p>
            <w:pPr>
              <w:spacing w:before="20" w:after="20"/>
            </w:pPr>
            <w:r/>
            <w:r>
              <w:rPr>
                <w:rFonts w:ascii="Verdana" w:hAnsi="Verdana"/>
                <w:b w:val="0"/>
                <w:sz w:val="16"/>
              </w:rPr>
              <w:t>Tipo de precipitación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0 20 022</w:t>
            </w:r>
          </w:p>
        </w:tc>
        <w:tc>
          <w:tcPr>
            <w:tcW w:type="dxa" w:w="1514"/>
          </w:tcPr>
          <w:p>
            <w:pPr>
              <w:spacing w:before="20" w:after="20"/>
            </w:pPr>
            <w:r/>
            <w:r>
              <w:rPr>
                <w:rFonts w:ascii="Verdana" w:hAnsi="Verdana"/>
                <w:b w:val="0"/>
                <w:sz w:val="16"/>
              </w:rPr>
              <w:t>Naturaleza de la precipitación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0 20 023</w:t>
            </w:r>
          </w:p>
        </w:tc>
        <w:tc>
          <w:tcPr>
            <w:tcW w:type="dxa" w:w="1514"/>
          </w:tcPr>
          <w:p>
            <w:pPr>
              <w:spacing w:before="20" w:after="20"/>
            </w:pPr>
            <w:r/>
            <w:r>
              <w:rPr>
                <w:rFonts w:ascii="Verdana" w:hAnsi="Verdana"/>
                <w:b w:val="0"/>
                <w:sz w:val="16"/>
              </w:rPr>
              <w:t>Otros fenómenos meteorológicos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0 20 024</w:t>
            </w:r>
          </w:p>
        </w:tc>
        <w:tc>
          <w:tcPr>
            <w:tcW w:type="dxa" w:w="1514"/>
          </w:tcPr>
          <w:p>
            <w:pPr>
              <w:spacing w:before="20" w:after="20"/>
            </w:pPr>
            <w:r/>
            <w:r>
              <w:rPr>
                <w:rFonts w:ascii="Verdana" w:hAnsi="Verdana"/>
                <w:b w:val="0"/>
                <w:sz w:val="16"/>
              </w:rPr>
              <w:t>Intensidad de los fenómenos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0 20 025</w:t>
            </w:r>
          </w:p>
        </w:tc>
        <w:tc>
          <w:tcPr>
            <w:tcW w:type="dxa" w:w="1514"/>
          </w:tcPr>
          <w:p>
            <w:pPr>
              <w:spacing w:before="20" w:after="20"/>
            </w:pPr>
            <w:r/>
            <w:r>
              <w:rPr>
                <w:rFonts w:ascii="Verdana" w:hAnsi="Verdana"/>
                <w:b w:val="0"/>
                <w:sz w:val="16"/>
              </w:rPr>
              <w:t>Oscurecimiento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0 20 026</w:t>
            </w:r>
          </w:p>
        </w:tc>
        <w:tc>
          <w:tcPr>
            <w:tcW w:type="dxa" w:w="1514"/>
          </w:tcPr>
          <w:p>
            <w:pPr>
              <w:spacing w:before="20" w:after="20"/>
            </w:pPr>
            <w:r/>
            <w:r>
              <w:rPr>
                <w:rFonts w:ascii="Verdana" w:hAnsi="Verdana"/>
                <w:b w:val="0"/>
                <w:sz w:val="16"/>
              </w:rPr>
              <w:t>Carácter del oscurecimiento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0 20 027</w:t>
            </w:r>
          </w:p>
        </w:tc>
        <w:tc>
          <w:tcPr>
            <w:tcW w:type="dxa" w:w="1514"/>
          </w:tcPr>
          <w:p>
            <w:pPr>
              <w:spacing w:before="20" w:after="20"/>
            </w:pPr>
            <w:r/>
            <w:r>
              <w:rPr>
                <w:rFonts w:ascii="Verdana" w:hAnsi="Verdana"/>
                <w:b w:val="0"/>
                <w:sz w:val="16"/>
              </w:rPr>
              <w:t>Ocurrencia de los fenómenos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0 20 028</w:t>
            </w:r>
          </w:p>
        </w:tc>
        <w:tc>
          <w:tcPr>
            <w:tcW w:type="dxa" w:w="1514"/>
          </w:tcPr>
          <w:p>
            <w:pPr>
              <w:spacing w:before="20" w:after="20"/>
            </w:pPr>
            <w:r/>
            <w:r>
              <w:rPr>
                <w:rFonts w:ascii="Verdana" w:hAnsi="Verdana"/>
                <w:b w:val="0"/>
                <w:sz w:val="16"/>
              </w:rPr>
              <w:t>Cambio esperado en intensidad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0 20 029</w:t>
            </w:r>
          </w:p>
        </w:tc>
        <w:tc>
          <w:tcPr>
            <w:tcW w:type="dxa" w:w="1514"/>
          </w:tcPr>
          <w:p>
            <w:pPr>
              <w:spacing w:before="20" w:after="20"/>
            </w:pPr>
            <w:r/>
            <w:r>
              <w:rPr>
                <w:rFonts w:ascii="Verdana" w:hAnsi="Verdana"/>
                <w:b w:val="0"/>
                <w:sz w:val="16"/>
              </w:rPr>
              <w:t>Banderín de lluvia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0 20 031</w:t>
            </w:r>
          </w:p>
        </w:tc>
        <w:tc>
          <w:tcPr>
            <w:tcW w:type="dxa" w:w="1514"/>
          </w:tcPr>
          <w:p>
            <w:pPr>
              <w:spacing w:before="20" w:after="20"/>
            </w:pPr>
            <w:r/>
            <w:r>
              <w:rPr>
                <w:rFonts w:ascii="Verdana" w:hAnsi="Verdana"/>
                <w:b w:val="0"/>
                <w:sz w:val="16"/>
              </w:rPr>
              <w:t>Depósito de hielo (espesor)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0 20 032</w:t>
            </w:r>
          </w:p>
        </w:tc>
        <w:tc>
          <w:tcPr>
            <w:tcW w:type="dxa" w:w="1514"/>
          </w:tcPr>
          <w:p>
            <w:pPr>
              <w:spacing w:before="20" w:after="20"/>
            </w:pPr>
            <w:r/>
            <w:r>
              <w:rPr>
                <w:rFonts w:ascii="Verdana" w:hAnsi="Verdana"/>
                <w:b w:val="0"/>
                <w:sz w:val="16"/>
              </w:rPr>
              <w:t>Velocidad de acumulación del hielo (estimada)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0 20 033</w:t>
            </w:r>
          </w:p>
        </w:tc>
        <w:tc>
          <w:tcPr>
            <w:tcW w:type="dxa" w:w="1514"/>
          </w:tcPr>
          <w:p>
            <w:pPr>
              <w:spacing w:before="20" w:after="20"/>
            </w:pPr>
            <w:r/>
            <w:r>
              <w:rPr>
                <w:rFonts w:ascii="Verdana" w:hAnsi="Verdana"/>
                <w:b w:val="0"/>
                <w:sz w:val="16"/>
              </w:rPr>
              <w:t>Causa de la acumulación del hielo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0 20 034</w:t>
            </w:r>
          </w:p>
        </w:tc>
        <w:tc>
          <w:tcPr>
            <w:tcW w:type="dxa" w:w="1514"/>
          </w:tcPr>
          <w:p>
            <w:pPr>
              <w:spacing w:before="20" w:after="20"/>
            </w:pPr>
            <w:r/>
            <w:r>
              <w:rPr>
                <w:rFonts w:ascii="Verdana" w:hAnsi="Verdana"/>
                <w:b w:val="0"/>
                <w:sz w:val="16"/>
              </w:rPr>
              <w:t>Concentración del hielo marino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0 20 035</w:t>
            </w:r>
          </w:p>
        </w:tc>
        <w:tc>
          <w:tcPr>
            <w:tcW w:type="dxa" w:w="1514"/>
          </w:tcPr>
          <w:p>
            <w:pPr>
              <w:spacing w:before="20" w:after="20"/>
            </w:pPr>
            <w:r/>
            <w:r>
              <w:rPr>
                <w:rFonts w:ascii="Verdana" w:hAnsi="Verdana"/>
                <w:b w:val="0"/>
                <w:sz w:val="16"/>
              </w:rPr>
              <w:t>Cantidad y tipo de hielo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0 20 036</w:t>
            </w:r>
          </w:p>
        </w:tc>
        <w:tc>
          <w:tcPr>
            <w:tcW w:type="dxa" w:w="1514"/>
          </w:tcPr>
          <w:p>
            <w:pPr>
              <w:spacing w:before="20" w:after="20"/>
            </w:pPr>
            <w:r/>
            <w:r>
              <w:rPr>
                <w:rFonts w:ascii="Verdana" w:hAnsi="Verdana"/>
                <w:b w:val="0"/>
                <w:sz w:val="16"/>
              </w:rPr>
              <w:t>Situación en el hielo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0 20 037</w:t>
            </w:r>
          </w:p>
        </w:tc>
        <w:tc>
          <w:tcPr>
            <w:tcW w:type="dxa" w:w="1514"/>
          </w:tcPr>
          <w:p>
            <w:pPr>
              <w:spacing w:before="20" w:after="20"/>
            </w:pPr>
            <w:r/>
            <w:r>
              <w:rPr>
                <w:rFonts w:ascii="Verdana" w:hAnsi="Verdana"/>
                <w:b w:val="0"/>
                <w:sz w:val="16"/>
              </w:rPr>
              <w:t>Formación del hielo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0 20 038</w:t>
            </w:r>
          </w:p>
        </w:tc>
        <w:tc>
          <w:tcPr>
            <w:tcW w:type="dxa" w:w="1514"/>
          </w:tcPr>
          <w:p>
            <w:pPr>
              <w:spacing w:before="20" w:after="20"/>
            </w:pPr>
            <w:r/>
            <w:r>
              <w:rPr>
                <w:rFonts w:ascii="Verdana" w:hAnsi="Verdana"/>
                <w:b w:val="0"/>
                <w:sz w:val="16"/>
              </w:rPr>
              <w:t>Orientación del borde de hielo</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135: La anchura de datos de 12 bits del descriptor 0 20 038, es mayor de lo necesario. Basta con 9 bits, como para todas las demás cantidades expresadas en “grados verdaderos”. No obstante, se ha mantenido una anchura de 12 bits para uniformar los datos. Asimismo, una orientación del valor 0 del borde del hielo indicará “Buque en el canal costero o en el canal agrietado”.</w:t>
            </w:r>
          </w:p>
        </w:tc>
      </w:tr>
      <w:tr>
        <w:trPr>
          <w:cantSplit/>
        </w:trPr>
        <w:tc>
          <w:tcPr>
            <w:tcW w:type="dxa" w:w="1514"/>
          </w:tcPr>
          <w:p>
            <w:pPr>
              <w:spacing w:before="20" w:after="20"/>
            </w:pPr>
            <w:r/>
            <w:r>
              <w:rPr>
                <w:rFonts w:ascii="Verdana" w:hAnsi="Verdana"/>
                <w:b w:val="0"/>
                <w:sz w:val="16"/>
              </w:rPr>
              <w:t>0 20 039</w:t>
            </w:r>
          </w:p>
        </w:tc>
        <w:tc>
          <w:tcPr>
            <w:tcW w:type="dxa" w:w="1514"/>
          </w:tcPr>
          <w:p>
            <w:pPr>
              <w:spacing w:before="20" w:after="20"/>
            </w:pPr>
            <w:r/>
            <w:r>
              <w:rPr>
                <w:rFonts w:ascii="Verdana" w:hAnsi="Verdana"/>
                <w:b w:val="0"/>
                <w:sz w:val="16"/>
              </w:rPr>
              <w:t>Distancia del hielo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0 20 040</w:t>
            </w:r>
          </w:p>
        </w:tc>
        <w:tc>
          <w:tcPr>
            <w:tcW w:type="dxa" w:w="1514"/>
          </w:tcPr>
          <w:p>
            <w:pPr>
              <w:spacing w:before="20" w:after="20"/>
            </w:pPr>
            <w:r/>
            <w:r>
              <w:rPr>
                <w:rFonts w:ascii="Verdana" w:hAnsi="Verdana"/>
                <w:b w:val="0"/>
                <w:sz w:val="16"/>
              </w:rPr>
              <w:t>Evolución de la deriva de la nieve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0 20 041</w:t>
            </w:r>
          </w:p>
        </w:tc>
        <w:tc>
          <w:tcPr>
            <w:tcW w:type="dxa" w:w="1514"/>
          </w:tcPr>
          <w:p>
            <w:pPr>
              <w:spacing w:before="20" w:after="20"/>
            </w:pPr>
            <w:r/>
            <w:r>
              <w:rPr>
                <w:rFonts w:ascii="Verdana" w:hAnsi="Verdana"/>
                <w:b w:val="0"/>
                <w:sz w:val="16"/>
              </w:rPr>
              <w:t>Engelamiento del fuselaje de la aeronave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0 20 042</w:t>
            </w:r>
          </w:p>
        </w:tc>
        <w:tc>
          <w:tcPr>
            <w:tcW w:type="dxa" w:w="1514"/>
          </w:tcPr>
          <w:p>
            <w:pPr>
              <w:spacing w:before="20" w:after="20"/>
            </w:pPr>
            <w:r/>
            <w:r>
              <w:rPr>
                <w:rFonts w:ascii="Verdana" w:hAnsi="Verdana"/>
                <w:b w:val="0"/>
                <w:sz w:val="16"/>
              </w:rPr>
              <w:t>Presencia de engelamiento del fuselaje de la aeronave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0 20 043</w:t>
            </w:r>
          </w:p>
        </w:tc>
        <w:tc>
          <w:tcPr>
            <w:tcW w:type="dxa" w:w="1514"/>
          </w:tcPr>
          <w:p>
            <w:pPr>
              <w:spacing w:before="20" w:after="20"/>
            </w:pPr>
            <w:r/>
            <w:r>
              <w:rPr>
                <w:rFonts w:ascii="Verdana" w:hAnsi="Verdana"/>
                <w:b w:val="0"/>
                <w:sz w:val="16"/>
              </w:rPr>
              <w:t>Contenido máximo de agua líquida</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0 20 044</w:t>
            </w:r>
          </w:p>
        </w:tc>
        <w:tc>
          <w:tcPr>
            <w:tcW w:type="dxa" w:w="1514"/>
          </w:tcPr>
          <w:p>
            <w:pPr>
              <w:spacing w:before="20" w:after="20"/>
            </w:pPr>
            <w:r/>
            <w:r>
              <w:rPr>
                <w:rFonts w:ascii="Verdana" w:hAnsi="Verdana"/>
                <w:b w:val="0"/>
                <w:sz w:val="16"/>
              </w:rPr>
              <w:t>Contenido medio de agua líquida</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0 20 045</w:t>
            </w:r>
          </w:p>
        </w:tc>
        <w:tc>
          <w:tcPr>
            <w:tcW w:type="dxa" w:w="1514"/>
          </w:tcPr>
          <w:p>
            <w:pPr>
              <w:spacing w:before="20" w:after="20"/>
            </w:pPr>
            <w:r/>
            <w:r>
              <w:rPr>
                <w:rFonts w:ascii="Verdana" w:hAnsi="Verdana"/>
                <w:b w:val="0"/>
                <w:sz w:val="16"/>
              </w:rPr>
              <w:t>Condiciones de gotitas de agua grandes subfundidas (SLD)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0 20 048</w:t>
            </w:r>
          </w:p>
        </w:tc>
        <w:tc>
          <w:tcPr>
            <w:tcW w:type="dxa" w:w="1514"/>
          </w:tcPr>
          <w:p>
            <w:pPr>
              <w:spacing w:before="20" w:after="20"/>
            </w:pPr>
            <w:r/>
            <w:r>
              <w:rPr>
                <w:rFonts w:ascii="Verdana" w:hAnsi="Verdana"/>
                <w:b w:val="0"/>
                <w:sz w:val="16"/>
              </w:rPr>
              <w:t>Evolución del elemento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0 20 050</w:t>
            </w:r>
          </w:p>
        </w:tc>
        <w:tc>
          <w:tcPr>
            <w:tcW w:type="dxa" w:w="1514"/>
          </w:tcPr>
          <w:p>
            <w:pPr>
              <w:spacing w:before="20" w:after="20"/>
            </w:pPr>
            <w:r/>
            <w:r>
              <w:rPr>
                <w:rFonts w:ascii="Verdana" w:hAnsi="Verdana"/>
                <w:b w:val="0"/>
                <w:sz w:val="16"/>
              </w:rPr>
              <w:t>Índice de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0 20 051</w:t>
            </w:r>
          </w:p>
        </w:tc>
        <w:tc>
          <w:tcPr>
            <w:tcW w:type="dxa" w:w="1514"/>
          </w:tcPr>
          <w:p>
            <w:pPr>
              <w:spacing w:before="20" w:after="20"/>
            </w:pPr>
            <w:r/>
            <w:r>
              <w:rPr>
                <w:rFonts w:ascii="Verdana" w:hAnsi="Verdana"/>
                <w:b w:val="0"/>
                <w:sz w:val="16"/>
              </w:rPr>
              <w:t>Cantidad de nubes bajas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0 20 052</w:t>
            </w:r>
          </w:p>
        </w:tc>
        <w:tc>
          <w:tcPr>
            <w:tcW w:type="dxa" w:w="1514"/>
          </w:tcPr>
          <w:p>
            <w:pPr>
              <w:spacing w:before="20" w:after="20"/>
            </w:pPr>
            <w:r/>
            <w:r>
              <w:rPr>
                <w:rFonts w:ascii="Verdana" w:hAnsi="Verdana"/>
                <w:b w:val="0"/>
                <w:sz w:val="16"/>
              </w:rPr>
              <w:t>Cantidad de nubes a nivel medio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0 20 053</w:t>
            </w:r>
          </w:p>
        </w:tc>
        <w:tc>
          <w:tcPr>
            <w:tcW w:type="dxa" w:w="1514"/>
          </w:tcPr>
          <w:p>
            <w:pPr>
              <w:spacing w:before="20" w:after="20"/>
            </w:pPr>
            <w:r/>
            <w:r>
              <w:rPr>
                <w:rFonts w:ascii="Verdana" w:hAnsi="Verdana"/>
                <w:b w:val="0"/>
                <w:sz w:val="16"/>
              </w:rPr>
              <w:t>Cantidad de nubes altas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0 20 054</w:t>
            </w:r>
          </w:p>
        </w:tc>
        <w:tc>
          <w:tcPr>
            <w:tcW w:type="dxa" w:w="1514"/>
          </w:tcPr>
          <w:p>
            <w:pPr>
              <w:spacing w:before="20" w:after="20"/>
            </w:pPr>
            <w:r/>
            <w:r>
              <w:rPr>
                <w:rFonts w:ascii="Verdana" w:hAnsi="Verdana"/>
                <w:b w:val="0"/>
                <w:sz w:val="16"/>
              </w:rPr>
              <w:t>Dirección verdadera desde donde se desplaza un fenómeno o nubes o en la cual se observan</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159: El descriptor de dirección verdadera de un fenómeno o nubes (0 20 054) se utilizará para indicar la dirección verdadera desde la cual se desplaza un fenómeno o nubes o en la cual se observan. Para el descriptor 0 20 054, el valor 0 indicará “estacionario o sin nubes” u “observado en la estación” mientras que el valor 500 indicará “observado en todas las direcciones” y el valor 501 indicará “desconocido o nubes invisibles”. I.2 – BUFR/CREX Tabla B/20 – 8</w:t>
            </w:r>
          </w:p>
        </w:tc>
      </w:tr>
      <w:tr>
        <w:trPr>
          <w:cantSplit/>
        </w:trPr>
        <w:tc>
          <w:tcPr>
            <w:tcW w:type="dxa" w:w="1514"/>
          </w:tcPr>
          <w:p>
            <w:pPr>
              <w:spacing w:before="20" w:after="20"/>
            </w:pPr>
            <w:r/>
            <w:r>
              <w:rPr>
                <w:rFonts w:ascii="Verdana" w:hAnsi="Verdana"/>
                <w:b w:val="0"/>
                <w:sz w:val="16"/>
              </w:rPr>
              <w:t>0 20 055</w:t>
            </w:r>
          </w:p>
        </w:tc>
        <w:tc>
          <w:tcPr>
            <w:tcW w:type="dxa" w:w="1514"/>
          </w:tcPr>
          <w:p>
            <w:pPr>
              <w:spacing w:before="20" w:after="20"/>
            </w:pPr>
            <w:r/>
            <w:r>
              <w:rPr>
                <w:rFonts w:ascii="Verdana" w:hAnsi="Verdana"/>
                <w:b w:val="0"/>
                <w:sz w:val="16"/>
              </w:rPr>
              <w:t>Estado del cielo en los trópicos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0 20 056</w:t>
            </w:r>
          </w:p>
        </w:tc>
        <w:tc>
          <w:tcPr>
            <w:tcW w:type="dxa" w:w="1514"/>
          </w:tcPr>
          <w:p>
            <w:pPr>
              <w:spacing w:before="20" w:after="20"/>
            </w:pPr>
            <w:r/>
            <w:r>
              <w:rPr>
                <w:rFonts w:ascii="Verdana" w:hAnsi="Verdana"/>
                <w:b w:val="0"/>
                <w:sz w:val="16"/>
              </w:rPr>
              <w:t>Fase de las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0 20 058</w:t>
            </w:r>
          </w:p>
        </w:tc>
        <w:tc>
          <w:tcPr>
            <w:tcW w:type="dxa" w:w="1514"/>
          </w:tcPr>
          <w:p>
            <w:pPr>
              <w:spacing w:before="20" w:after="20"/>
            </w:pPr>
            <w:r/>
            <w:r>
              <w:rPr>
                <w:rFonts w:ascii="Verdana" w:hAnsi="Verdana"/>
                <w:b w:val="0"/>
                <w:sz w:val="16"/>
              </w:rPr>
              <w:t>Visibilidad hacia el mar desde una estación costera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0 20 059</w:t>
            </w:r>
          </w:p>
        </w:tc>
        <w:tc>
          <w:tcPr>
            <w:tcW w:type="dxa" w:w="1514"/>
          </w:tcPr>
          <w:p>
            <w:pPr>
              <w:spacing w:before="20" w:after="20"/>
            </w:pPr>
            <w:r/>
            <w:r>
              <w:rPr>
                <w:rFonts w:ascii="Verdana" w:hAnsi="Verdana"/>
                <w:b w:val="0"/>
                <w:sz w:val="16"/>
              </w:rPr>
              <w:t>Visibilidad horizontal mínima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0 20 060</w:t>
            </w:r>
          </w:p>
        </w:tc>
        <w:tc>
          <w:tcPr>
            <w:tcW w:type="dxa" w:w="1514"/>
          </w:tcPr>
          <w:p>
            <w:pPr>
              <w:spacing w:before="20" w:after="20"/>
            </w:pPr>
            <w:r/>
            <w:r>
              <w:rPr>
                <w:rFonts w:ascii="Verdana" w:hAnsi="Verdana"/>
                <w:b w:val="0"/>
                <w:sz w:val="16"/>
              </w:rPr>
              <w:t>Visibilidad horizontal reinante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24: Si se utiliza el campo 0 01 011, este campo resultará faltante, y recíprocamente.</w:t>
            </w:r>
          </w:p>
        </w:tc>
      </w:tr>
      <w:tr>
        <w:trPr>
          <w:cantSplit/>
        </w:trPr>
        <w:tc>
          <w:tcPr>
            <w:tcW w:type="dxa" w:w="1514"/>
          </w:tcPr>
          <w:p>
            <w:pPr>
              <w:spacing w:before="20" w:after="20"/>
            </w:pPr>
            <w:r/>
            <w:r>
              <w:rPr>
                <w:rFonts w:ascii="Verdana" w:hAnsi="Verdana"/>
                <w:b w:val="0"/>
                <w:sz w:val="16"/>
              </w:rPr>
              <w:t>0 20 061</w:t>
            </w:r>
          </w:p>
        </w:tc>
        <w:tc>
          <w:tcPr>
            <w:tcW w:type="dxa" w:w="1514"/>
          </w:tcPr>
          <w:p>
            <w:pPr>
              <w:spacing w:before="20" w:after="20"/>
            </w:pPr>
            <w:r/>
            <w:r>
              <w:rPr>
                <w:rFonts w:ascii="Verdana" w:hAnsi="Verdana"/>
                <w:b w:val="0"/>
                <w:sz w:val="16"/>
              </w:rPr>
              <w:t>Alcance visual en pista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0 20 062</w:t>
            </w:r>
          </w:p>
        </w:tc>
        <w:tc>
          <w:tcPr>
            <w:tcW w:type="dxa" w:w="1514"/>
          </w:tcPr>
          <w:p>
            <w:pPr>
              <w:spacing w:before="20" w:after="20"/>
            </w:pPr>
            <w:r/>
            <w:r>
              <w:rPr>
                <w:rFonts w:ascii="Verdana" w:hAnsi="Verdana"/>
                <w:b w:val="0"/>
                <w:sz w:val="16"/>
              </w:rPr>
              <w:t>Estado del suelo (con o sin nieve)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0 20 063</w:t>
            </w:r>
          </w:p>
        </w:tc>
        <w:tc>
          <w:tcPr>
            <w:tcW w:type="dxa" w:w="1514"/>
          </w:tcPr>
          <w:p>
            <w:pPr>
              <w:spacing w:before="20" w:after="20"/>
            </w:pPr>
            <w:r/>
            <w:r>
              <w:rPr>
                <w:rFonts w:ascii="Verdana" w:hAnsi="Verdana"/>
                <w:b w:val="0"/>
                <w:sz w:val="16"/>
              </w:rPr>
              <w:t>Fenómenos especiales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0 20 065</w:t>
            </w:r>
          </w:p>
        </w:tc>
        <w:tc>
          <w:tcPr>
            <w:tcW w:type="dxa" w:w="1514"/>
          </w:tcPr>
          <w:p>
            <w:pPr>
              <w:spacing w:before="20" w:after="20"/>
            </w:pPr>
            <w:r/>
            <w:r>
              <w:rPr>
                <w:rFonts w:ascii="Verdana" w:hAnsi="Verdana"/>
                <w:b w:val="0"/>
                <w:sz w:val="16"/>
              </w:rPr>
              <w:t>Cubierta de nieve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120: La cubierta de nieve se indicará para cada píxel satelital como porcentaje de cobertura del píxel. No parece factible tratar de utilizar el descriptor existente 0 20 062 con tal fin porque el uso de ese descriptor implica además detalles sobre, por ejemplo, ventiscas de nieve, nieve húmeda comparada con nieve seca, etc., que un satélite no puede evidentemente detectar con exactitud.</w:t>
            </w:r>
          </w:p>
        </w:tc>
      </w:tr>
      <w:tr>
        <w:trPr>
          <w:cantSplit/>
        </w:trPr>
        <w:tc>
          <w:tcPr>
            <w:tcW w:type="dxa" w:w="1514"/>
          </w:tcPr>
          <w:p>
            <w:pPr>
              <w:spacing w:before="20" w:after="20"/>
            </w:pPr>
            <w:r/>
            <w:r>
              <w:rPr>
                <w:rFonts w:ascii="Verdana" w:hAnsi="Verdana"/>
                <w:b w:val="0"/>
                <w:sz w:val="16"/>
              </w:rPr>
              <w:t>0 20 066</w:t>
            </w:r>
          </w:p>
        </w:tc>
        <w:tc>
          <w:tcPr>
            <w:tcW w:type="dxa" w:w="1514"/>
          </w:tcPr>
          <w:p>
            <w:pPr>
              <w:spacing w:before="20" w:after="20"/>
            </w:pPr>
            <w:r/>
            <w:r>
              <w:rPr>
                <w:rFonts w:ascii="Verdana" w:hAnsi="Verdana"/>
                <w:b w:val="0"/>
                <w:sz w:val="16"/>
              </w:rPr>
              <w:t>Diámetro máximo del granizo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0 20 067</w:t>
            </w:r>
          </w:p>
        </w:tc>
        <w:tc>
          <w:tcPr>
            <w:tcW w:type="dxa" w:w="1514"/>
          </w:tcPr>
          <w:p>
            <w:pPr>
              <w:spacing w:before="20" w:after="20"/>
            </w:pPr>
            <w:r/>
            <w:r>
              <w:rPr>
                <w:rFonts w:ascii="Verdana" w:hAnsi="Verdana"/>
                <w:b w:val="0"/>
                <w:sz w:val="16"/>
              </w:rPr>
              <w:t>Diámetro del depósito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0 20 070</w:t>
            </w:r>
          </w:p>
        </w:tc>
        <w:tc>
          <w:tcPr>
            <w:tcW w:type="dxa" w:w="1514"/>
          </w:tcPr>
          <w:p>
            <w:pPr>
              <w:spacing w:before="20" w:after="20"/>
            </w:pPr>
            <w:r/>
            <w:r>
              <w:rPr>
                <w:rFonts w:ascii="Verdana" w:hAnsi="Verdana"/>
                <w:b w:val="0"/>
                <w:sz w:val="16"/>
              </w:rPr>
              <w:t>Número mínimo de parásitos atmosféricos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0 20 071</w:t>
            </w:r>
          </w:p>
        </w:tc>
        <w:tc>
          <w:tcPr>
            <w:tcW w:type="dxa" w:w="1514"/>
          </w:tcPr>
          <w:p>
            <w:pPr>
              <w:spacing w:before="20" w:after="20"/>
            </w:pPr>
            <w:r/>
            <w:r>
              <w:rPr>
                <w:rFonts w:ascii="Verdana" w:hAnsi="Verdana"/>
                <w:b w:val="0"/>
                <w:sz w:val="16"/>
              </w:rPr>
              <w:t>Exactitud de marcación y tasa de parásitos atmosféricos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0 20 081</w:t>
            </w:r>
          </w:p>
        </w:tc>
        <w:tc>
          <w:tcPr>
            <w:tcW w:type="dxa" w:w="1514"/>
          </w:tcPr>
          <w:p>
            <w:pPr>
              <w:spacing w:before="20" w:after="20"/>
            </w:pPr>
            <w:r/>
            <w:r>
              <w:rPr>
                <w:rFonts w:ascii="Verdana" w:hAnsi="Verdana"/>
                <w:b w:val="0"/>
                <w:sz w:val="16"/>
              </w:rPr>
              <w:t>Nubosidad en el segmento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0 20 082</w:t>
            </w:r>
          </w:p>
        </w:tc>
        <w:tc>
          <w:tcPr>
            <w:tcW w:type="dxa" w:w="1514"/>
          </w:tcPr>
          <w:p>
            <w:pPr>
              <w:spacing w:before="20" w:after="20"/>
            </w:pPr>
            <w:r/>
            <w:r>
              <w:rPr>
                <w:rFonts w:ascii="Verdana" w:hAnsi="Verdana"/>
                <w:b w:val="0"/>
                <w:sz w:val="16"/>
              </w:rPr>
              <w:t>Espacio sin nubes del segmento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0 20 083</w:t>
            </w:r>
          </w:p>
        </w:tc>
        <w:tc>
          <w:tcPr>
            <w:tcW w:type="dxa" w:w="1514"/>
          </w:tcPr>
          <w:p>
            <w:pPr>
              <w:spacing w:before="20" w:after="20"/>
            </w:pPr>
            <w:r/>
            <w:r>
              <w:rPr>
                <w:rFonts w:ascii="Verdana" w:hAnsi="Verdana"/>
                <w:b w:val="0"/>
                <w:sz w:val="16"/>
              </w:rPr>
              <w:t>Parte del segmento cubierta por la escena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0 20 085</w:t>
            </w:r>
          </w:p>
        </w:tc>
        <w:tc>
          <w:tcPr>
            <w:tcW w:type="dxa" w:w="1514"/>
          </w:tcPr>
          <w:p>
            <w:pPr>
              <w:spacing w:before="20" w:after="20"/>
            </w:pPr>
            <w:r/>
            <w:r>
              <w:rPr>
                <w:rFonts w:ascii="Verdana" w:hAnsi="Verdana"/>
                <w:b w:val="0"/>
                <w:sz w:val="16"/>
              </w:rPr>
              <w:t>Estado general de la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0 20 086</w:t>
            </w:r>
          </w:p>
        </w:tc>
        <w:tc>
          <w:tcPr>
            <w:tcW w:type="dxa" w:w="1514"/>
          </w:tcPr>
          <w:p>
            <w:pPr>
              <w:spacing w:before="20" w:after="20"/>
            </w:pPr>
            <w:r/>
            <w:r>
              <w:rPr>
                <w:rFonts w:ascii="Verdana" w:hAnsi="Verdana"/>
                <w:b w:val="0"/>
                <w:sz w:val="16"/>
              </w:rPr>
              <w:t>Depósitos en la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0 20 087</w:t>
            </w:r>
          </w:p>
        </w:tc>
        <w:tc>
          <w:tcPr>
            <w:tcW w:type="dxa" w:w="1514"/>
          </w:tcPr>
          <w:p>
            <w:pPr>
              <w:spacing w:before="20" w:after="20"/>
            </w:pPr>
            <w:r/>
            <w:r>
              <w:rPr>
                <w:rFonts w:ascii="Verdana" w:hAnsi="Verdana"/>
                <w:b w:val="0"/>
                <w:sz w:val="16"/>
              </w:rPr>
              <w:t>Contaminación en la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0 20 088</w:t>
            </w:r>
          </w:p>
        </w:tc>
        <w:tc>
          <w:tcPr>
            <w:tcW w:type="dxa" w:w="1514"/>
          </w:tcPr>
          <w:p>
            <w:pPr>
              <w:spacing w:before="20" w:after="20"/>
            </w:pPr>
            <w:r/>
            <w:r>
              <w:rPr>
                <w:rFonts w:ascii="Verdana" w:hAnsi="Verdana"/>
                <w:b w:val="0"/>
                <w:sz w:val="16"/>
              </w:rPr>
              <w:t>Espesor de los depósitos en la pista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0 20 089</w:t>
            </w:r>
          </w:p>
        </w:tc>
        <w:tc>
          <w:tcPr>
            <w:tcW w:type="dxa" w:w="1514"/>
          </w:tcPr>
          <w:p>
            <w:pPr>
              <w:spacing w:before="20" w:after="20"/>
            </w:pPr>
            <w:r/>
            <w:r>
              <w:rPr>
                <w:rFonts w:ascii="Verdana" w:hAnsi="Verdana"/>
                <w:b w:val="0"/>
                <w:sz w:val="16"/>
              </w:rPr>
              <w:t>Coeficiente de rozamiento en la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0 20 090</w:t>
            </w:r>
          </w:p>
        </w:tc>
        <w:tc>
          <w:tcPr>
            <w:tcW w:type="dxa" w:w="1514"/>
          </w:tcPr>
          <w:p>
            <w:pPr>
              <w:spacing w:before="20" w:after="20"/>
            </w:pPr>
            <w:r/>
            <w:r>
              <w:rPr>
                <w:rFonts w:ascii="Verdana" w:hAnsi="Verdana"/>
                <w:b w:val="0"/>
                <w:sz w:val="16"/>
              </w:rPr>
              <w:t>Nubes especiales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0 20 091</w:t>
            </w:r>
          </w:p>
        </w:tc>
        <w:tc>
          <w:tcPr>
            <w:tcW w:type="dxa" w:w="1514"/>
          </w:tcPr>
          <w:p>
            <w:pPr>
              <w:spacing w:before="20" w:after="20"/>
            </w:pPr>
            <w:r/>
            <w:r>
              <w:rPr>
                <w:rFonts w:ascii="Verdana" w:hAnsi="Verdana"/>
                <w:b w:val="0"/>
                <w:sz w:val="16"/>
              </w:rPr>
              <w:t>Visibilidad vertical</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0 20 092</w:t>
            </w:r>
          </w:p>
        </w:tc>
        <w:tc>
          <w:tcPr>
            <w:tcW w:type="dxa" w:w="1514"/>
          </w:tcPr>
          <w:p>
            <w:pPr>
              <w:spacing w:before="20" w:after="20"/>
            </w:pPr>
            <w:r/>
            <w:r>
              <w:rPr>
                <w:rFonts w:ascii="Verdana" w:hAnsi="Verdana"/>
                <w:b w:val="0"/>
                <w:sz w:val="16"/>
              </w:rPr>
              <w:t>Altura de la base de las nubes</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0 20 093</w:t>
            </w:r>
          </w:p>
        </w:tc>
        <w:tc>
          <w:tcPr>
            <w:tcW w:type="dxa" w:w="1514"/>
          </w:tcPr>
          <w:p>
            <w:pPr>
              <w:spacing w:before="20" w:after="20"/>
            </w:pPr>
            <w:r/>
            <w:r>
              <w:rPr>
                <w:rFonts w:ascii="Verdana" w:hAnsi="Verdana"/>
                <w:b w:val="0"/>
                <w:sz w:val="16"/>
              </w:rPr>
              <w:t>Altura de la inversión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0 20 095</w:t>
            </w:r>
          </w:p>
        </w:tc>
        <w:tc>
          <w:tcPr>
            <w:tcW w:type="dxa" w:w="1514"/>
          </w:tcPr>
          <w:p>
            <w:pPr>
              <w:spacing w:before="20" w:after="20"/>
            </w:pPr>
            <w:r/>
            <w:r>
              <w:rPr>
                <w:rFonts w:ascii="Verdana" w:hAnsi="Verdana"/>
                <w:b w:val="0"/>
                <w:sz w:val="16"/>
              </w:rPr>
              <w:t>Probabilidad de hielo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0 20 096</w:t>
            </w:r>
          </w:p>
        </w:tc>
        <w:tc>
          <w:tcPr>
            <w:tcW w:type="dxa" w:w="1514"/>
          </w:tcPr>
          <w:p>
            <w:pPr>
              <w:spacing w:before="20" w:after="20"/>
            </w:pPr>
            <w:r/>
            <w:r>
              <w:rPr>
                <w:rFonts w:ascii="Verdana" w:hAnsi="Verdana"/>
                <w:b w:val="0"/>
                <w:sz w:val="16"/>
              </w:rPr>
              <w:t>Edad de hielo (parámetro "A")</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0 20 101</w:t>
            </w:r>
          </w:p>
        </w:tc>
        <w:tc>
          <w:tcPr>
            <w:tcW w:type="dxa" w:w="1514"/>
          </w:tcPr>
          <w:p>
            <w:pPr>
              <w:spacing w:before="20" w:after="20"/>
            </w:pPr>
            <w:r/>
            <w:r>
              <w:rPr>
                <w:rFonts w:ascii="Verdana" w:hAnsi="Verdana"/>
                <w:b w:val="0"/>
                <w:sz w:val="16"/>
              </w:rPr>
              <w:t>Nombre de la langosta (acrídido)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0 20 102</w:t>
            </w:r>
          </w:p>
        </w:tc>
        <w:tc>
          <w:tcPr>
            <w:tcW w:type="dxa" w:w="1514"/>
          </w:tcPr>
          <w:p>
            <w:pPr>
              <w:spacing w:before="20" w:after="20"/>
            </w:pPr>
            <w:r/>
            <w:r>
              <w:rPr>
                <w:rFonts w:ascii="Verdana" w:hAnsi="Verdana"/>
                <w:b w:val="0"/>
                <w:sz w:val="16"/>
              </w:rPr>
              <w:t>Color de la langosta (adulta)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0 20 103</w:t>
            </w:r>
          </w:p>
        </w:tc>
        <w:tc>
          <w:tcPr>
            <w:tcW w:type="dxa" w:w="1514"/>
          </w:tcPr>
          <w:p>
            <w:pPr>
              <w:spacing w:before="20" w:after="20"/>
            </w:pPr>
            <w:r/>
            <w:r>
              <w:rPr>
                <w:rFonts w:ascii="Verdana" w:hAnsi="Verdana"/>
                <w:b w:val="0"/>
                <w:sz w:val="16"/>
              </w:rPr>
              <w:t>Fase de desarrollo de las langostas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0 20 104</w:t>
            </w:r>
          </w:p>
        </w:tc>
        <w:tc>
          <w:tcPr>
            <w:tcW w:type="dxa" w:w="1514"/>
          </w:tcPr>
          <w:p>
            <w:pPr>
              <w:spacing w:before="20" w:after="20"/>
            </w:pPr>
            <w:r/>
            <w:r>
              <w:rPr>
                <w:rFonts w:ascii="Verdana" w:hAnsi="Verdana"/>
                <w:b w:val="0"/>
                <w:sz w:val="16"/>
              </w:rPr>
              <w:t>Estado de organización del enjambre o banda de langostas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0 20 105</w:t>
            </w:r>
          </w:p>
        </w:tc>
        <w:tc>
          <w:tcPr>
            <w:tcW w:type="dxa" w:w="1514"/>
          </w:tcPr>
          <w:p>
            <w:pPr>
              <w:spacing w:before="20" w:after="20"/>
            </w:pPr>
            <w:r/>
            <w:r>
              <w:rPr>
                <w:rFonts w:ascii="Verdana" w:hAnsi="Verdana"/>
                <w:b w:val="0"/>
                <w:sz w:val="16"/>
              </w:rPr>
              <w:t>Tamaño del enjambre o banda de langostas y duración del paso del enjambre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0 20 106</w:t>
            </w:r>
          </w:p>
        </w:tc>
        <w:tc>
          <w:tcPr>
            <w:tcW w:type="dxa" w:w="1514"/>
          </w:tcPr>
          <w:p>
            <w:pPr>
              <w:spacing w:before="20" w:after="20"/>
            </w:pPr>
            <w:r/>
            <w:r>
              <w:rPr>
                <w:rFonts w:ascii="Verdana" w:hAnsi="Verdana"/>
                <w:b w:val="0"/>
                <w:sz w:val="16"/>
              </w:rPr>
              <w:t>Densidad de la población de langostas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0 20 107</w:t>
            </w:r>
          </w:p>
        </w:tc>
        <w:tc>
          <w:tcPr>
            <w:tcW w:type="dxa" w:w="1514"/>
          </w:tcPr>
          <w:p>
            <w:pPr>
              <w:spacing w:before="20" w:after="20"/>
            </w:pPr>
            <w:r/>
            <w:r>
              <w:rPr>
                <w:rFonts w:ascii="Verdana" w:hAnsi="Verdana"/>
                <w:b w:val="0"/>
                <w:sz w:val="16"/>
              </w:rPr>
              <w:t>Dirección de los movimientos del enjambre de langostas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0 20 108</w:t>
            </w:r>
          </w:p>
        </w:tc>
        <w:tc>
          <w:tcPr>
            <w:tcW w:type="dxa" w:w="1514"/>
          </w:tcPr>
          <w:p>
            <w:pPr>
              <w:spacing w:before="20" w:after="20"/>
            </w:pPr>
            <w:r/>
            <w:r>
              <w:rPr>
                <w:rFonts w:ascii="Verdana" w:hAnsi="Verdana"/>
                <w:b w:val="0"/>
                <w:sz w:val="16"/>
              </w:rPr>
              <w:t>Extensión de la vegetación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0 20 111</w:t>
            </w:r>
          </w:p>
        </w:tc>
        <w:tc>
          <w:tcPr>
            <w:tcW w:type="dxa" w:w="1514"/>
          </w:tcPr>
          <w:p>
            <w:pPr>
              <w:spacing w:before="20" w:after="20"/>
            </w:pPr>
            <w:r/>
            <w:r>
              <w:rPr>
                <w:rFonts w:ascii="Verdana" w:hAnsi="Verdana"/>
                <w:b w:val="0"/>
                <w:sz w:val="16"/>
              </w:rPr>
              <w:t>Componente principal de la elipse de error del eje 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Si x=y=z se trata de un error esférico, y el ángulo (véase 0 20 115) será cero. | Note 90: Si x=y se trata de un error radial, y el ángulo (véase 0 20 114) será cero.</w:t>
            </w:r>
          </w:p>
        </w:tc>
      </w:tr>
      <w:tr>
        <w:trPr>
          <w:cantSplit/>
        </w:trPr>
        <w:tc>
          <w:tcPr>
            <w:tcW w:type="dxa" w:w="1514"/>
          </w:tcPr>
          <w:p>
            <w:pPr>
              <w:spacing w:before="20" w:after="20"/>
            </w:pPr>
            <w:r/>
            <w:r>
              <w:rPr>
                <w:rFonts w:ascii="Verdana" w:hAnsi="Verdana"/>
                <w:b w:val="0"/>
                <w:sz w:val="16"/>
              </w:rPr>
              <w:t>0 20 112</w:t>
            </w:r>
          </w:p>
        </w:tc>
        <w:tc>
          <w:tcPr>
            <w:tcW w:type="dxa" w:w="1514"/>
          </w:tcPr>
          <w:p>
            <w:pPr>
              <w:spacing w:before="20" w:after="20"/>
            </w:pPr>
            <w:r/>
            <w:r>
              <w:rPr>
                <w:rFonts w:ascii="Verdana" w:hAnsi="Verdana"/>
                <w:b w:val="0"/>
                <w:sz w:val="16"/>
              </w:rPr>
              <w:t>Componente menor de la elipse de error del eje 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Si x=y=z se trata de un error esférico, y el ángulo (véase 0 20 115) será cero. | Note 90: Si x=y se trata de un error radial, y el ángulo (véase 0 20 114) será cero.</w:t>
            </w:r>
          </w:p>
        </w:tc>
      </w:tr>
      <w:tr>
        <w:trPr>
          <w:cantSplit/>
        </w:trPr>
        <w:tc>
          <w:tcPr>
            <w:tcW w:type="dxa" w:w="1514"/>
          </w:tcPr>
          <w:p>
            <w:pPr>
              <w:spacing w:before="20" w:after="20"/>
            </w:pPr>
            <w:r/>
            <w:r>
              <w:rPr>
                <w:rFonts w:ascii="Verdana" w:hAnsi="Verdana"/>
                <w:b w:val="0"/>
                <w:sz w:val="16"/>
              </w:rPr>
              <w:t>0 20 113</w:t>
            </w:r>
          </w:p>
        </w:tc>
        <w:tc>
          <w:tcPr>
            <w:tcW w:type="dxa" w:w="1514"/>
          </w:tcPr>
          <w:p>
            <w:pPr>
              <w:spacing w:before="20" w:after="20"/>
            </w:pPr>
            <w:r/>
            <w:r>
              <w:rPr>
                <w:rFonts w:ascii="Verdana" w:hAnsi="Verdana"/>
                <w:b w:val="0"/>
                <w:sz w:val="16"/>
              </w:rPr>
              <w:t>Componente de la elipse de error del eje z</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Si x=y=z se trata de un error esférico, y el ángulo (véase 0 20 115) será cero.</w:t>
            </w:r>
          </w:p>
        </w:tc>
      </w:tr>
      <w:tr>
        <w:trPr>
          <w:cantSplit/>
        </w:trPr>
        <w:tc>
          <w:tcPr>
            <w:tcW w:type="dxa" w:w="1514"/>
          </w:tcPr>
          <w:p>
            <w:pPr>
              <w:spacing w:before="20" w:after="20"/>
            </w:pPr>
            <w:r/>
            <w:r>
              <w:rPr>
                <w:rFonts w:ascii="Verdana" w:hAnsi="Verdana"/>
                <w:b w:val="0"/>
                <w:sz w:val="16"/>
              </w:rPr>
              <w:t>0 20 114</w:t>
            </w:r>
          </w:p>
        </w:tc>
        <w:tc>
          <w:tcPr>
            <w:tcW w:type="dxa" w:w="1514"/>
          </w:tcPr>
          <w:p>
            <w:pPr>
              <w:spacing w:before="20" w:after="20"/>
            </w:pPr>
            <w:r/>
            <w:r>
              <w:rPr>
                <w:rFonts w:ascii="Verdana" w:hAnsi="Verdana"/>
                <w:b w:val="0"/>
                <w:sz w:val="16"/>
              </w:rPr>
              <w:t>Ángulo del eje x en la elipse de error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31: Entero asignado por el operador e incrementado para cada nueva transecta (es decir, todas las gotas tendrán el mismo número de transecta mientras el buque se desplaza de un extremo de la línea al otro; tan pronto como el buque llega al puerto y retorna al punto de partida se añade una nueva transecta y, seguidamente, se incrementa el número de transecta). El valor inicial y los valores subsiguientes de los números de transecta no son importantes, siempre y cuando cada nueva transecta de un buque a lo largo de una línea tenga un número de transecta superior a los números de transecta anteriores para esa misma línea y buque. Si un único crucero siguiera más de una línea seguida del Programa de buques de observación ocasional, se incrementará el número de transecta cada vez que el crucero cambie de línea.</w:t>
            </w:r>
          </w:p>
        </w:tc>
      </w:tr>
      <w:tr>
        <w:trPr>
          <w:cantSplit/>
        </w:trPr>
        <w:tc>
          <w:tcPr>
            <w:tcW w:type="dxa" w:w="1514"/>
          </w:tcPr>
          <w:p>
            <w:pPr>
              <w:spacing w:before="20" w:after="20"/>
            </w:pPr>
            <w:r/>
            <w:r>
              <w:rPr>
                <w:rFonts w:ascii="Verdana" w:hAnsi="Verdana"/>
                <w:b w:val="0"/>
                <w:sz w:val="16"/>
              </w:rPr>
              <w:t>0 20 115</w:t>
            </w:r>
          </w:p>
        </w:tc>
        <w:tc>
          <w:tcPr>
            <w:tcW w:type="dxa" w:w="1514"/>
          </w:tcPr>
          <w:p>
            <w:pPr>
              <w:spacing w:before="20" w:after="20"/>
            </w:pPr>
            <w:r/>
            <w:r>
              <w:rPr>
                <w:rFonts w:ascii="Verdana" w:hAnsi="Verdana"/>
                <w:b w:val="0"/>
                <w:sz w:val="16"/>
              </w:rPr>
              <w:t>Ángulo del eje z en la elipse de error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30: En esta secuencia para la representación de los datos de descenso de radiosondas, no es obligatorio indicar los niveles estándares mediante la significación del sondeo vertical ampliado (0 08 042).</w:t>
            </w:r>
          </w:p>
        </w:tc>
      </w:tr>
      <w:tr>
        <w:trPr>
          <w:cantSplit/>
        </w:trPr>
        <w:tc>
          <w:tcPr>
            <w:tcW w:type="dxa" w:w="1514"/>
          </w:tcPr>
          <w:p>
            <w:pPr>
              <w:spacing w:before="20" w:after="20"/>
            </w:pPr>
            <w:r/>
            <w:r>
              <w:rPr>
                <w:rFonts w:ascii="Verdana" w:hAnsi="Verdana"/>
                <w:b w:val="0"/>
                <w:sz w:val="16"/>
              </w:rPr>
              <w:t>0 20 116</w:t>
            </w:r>
          </w:p>
        </w:tc>
        <w:tc>
          <w:tcPr>
            <w:tcW w:type="dxa" w:w="1514"/>
          </w:tcPr>
          <w:p>
            <w:pPr>
              <w:spacing w:before="20" w:after="20"/>
            </w:pPr>
            <w:r/>
            <w:r>
              <w:rPr>
                <w:rFonts w:ascii="Verdana" w:hAnsi="Verdana"/>
                <w:b w:val="0"/>
                <w:sz w:val="16"/>
              </w:rPr>
              <w:t>Altura de la base de las nubes a la que se emite la descarga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0 20 117</w:t>
            </w:r>
          </w:p>
        </w:tc>
        <w:tc>
          <w:tcPr>
            <w:tcW w:type="dxa" w:w="1514"/>
          </w:tcPr>
          <w:p>
            <w:pPr>
              <w:spacing w:before="20" w:after="20"/>
            </w:pPr>
            <w:r/>
            <w:r>
              <w:rPr>
                <w:rFonts w:ascii="Verdana" w:hAnsi="Verdana"/>
                <w:b w:val="0"/>
                <w:sz w:val="16"/>
              </w:rPr>
              <w:t>Amplitud de la descarga eléctrica</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-32000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0 20 118</w:t>
            </w:r>
          </w:p>
        </w:tc>
        <w:tc>
          <w:tcPr>
            <w:tcW w:type="dxa" w:w="1514"/>
          </w:tcPr>
          <w:p>
            <w:pPr>
              <w:spacing w:before="20" w:after="20"/>
            </w:pPr>
            <w:r/>
            <w:r>
              <w:rPr>
                <w:rFonts w:ascii="Verdana" w:hAnsi="Verdana"/>
                <w:b w:val="0"/>
                <w:sz w:val="16"/>
              </w:rPr>
              <w:t>Error de detección de la descarga eléctrica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0 20 119</w:t>
            </w:r>
          </w:p>
        </w:tc>
        <w:tc>
          <w:tcPr>
            <w:tcW w:type="dxa" w:w="1514"/>
          </w:tcPr>
          <w:p>
            <w:pPr>
              <w:spacing w:before="20" w:after="20"/>
            </w:pPr>
            <w:r/>
            <w:r>
              <w:rPr>
                <w:rFonts w:ascii="Verdana" w:hAnsi="Verdana"/>
                <w:b w:val="0"/>
                <w:sz w:val="16"/>
              </w:rPr>
              <w:t>Polaridad de la descarga eléctrica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0 20 121</w:t>
            </w:r>
          </w:p>
        </w:tc>
        <w:tc>
          <w:tcPr>
            <w:tcW w:type="dxa" w:w="1514"/>
          </w:tcPr>
          <w:p>
            <w:pPr>
              <w:spacing w:before="20" w:after="20"/>
            </w:pPr>
            <w:r/>
            <w:r>
              <w:rPr>
                <w:rFonts w:ascii="Verdana" w:hAnsi="Verdana"/>
                <w:b w:val="0"/>
                <w:sz w:val="16"/>
              </w:rPr>
              <w:t>Valor de umbral para decisión de polaridad</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9: La “Fecha/hora de lanzamiento” indica la fecha/hora de inicio de las mediciones de descenso.</w:t>
            </w:r>
          </w:p>
        </w:tc>
      </w:tr>
      <w:tr>
        <w:trPr>
          <w:cantSplit/>
        </w:trPr>
        <w:tc>
          <w:tcPr>
            <w:tcW w:type="dxa" w:w="1514"/>
          </w:tcPr>
          <w:p>
            <w:pPr>
              <w:spacing w:before="20" w:after="20"/>
            </w:pPr>
            <w:r/>
            <w:r>
              <w:rPr>
                <w:rFonts w:ascii="Verdana" w:hAnsi="Verdana"/>
                <w:b w:val="0"/>
                <w:sz w:val="16"/>
              </w:rPr>
              <w:t>0 20 122</w:t>
            </w:r>
          </w:p>
        </w:tc>
        <w:tc>
          <w:tcPr>
            <w:tcW w:type="dxa" w:w="1514"/>
          </w:tcPr>
          <w:p>
            <w:pPr>
              <w:spacing w:before="20" w:after="20"/>
            </w:pPr>
            <w:r/>
            <w:r>
              <w:rPr>
                <w:rFonts w:ascii="Verdana" w:hAnsi="Verdana"/>
                <w:b w:val="0"/>
                <w:sz w:val="16"/>
              </w:rPr>
              <w:t>Valor de umbral para decisión de polaridad</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tc>
      </w:tr>
      <w:tr>
        <w:trPr>
          <w:cantSplit/>
        </w:trPr>
        <w:tc>
          <w:tcPr>
            <w:tcW w:type="dxa" w:w="1514"/>
          </w:tcPr>
          <w:p>
            <w:pPr>
              <w:spacing w:before="20" w:after="20"/>
            </w:pPr>
            <w:r/>
            <w:r>
              <w:rPr>
                <w:rFonts w:ascii="Verdana" w:hAnsi="Verdana"/>
                <w:b w:val="0"/>
                <w:sz w:val="16"/>
              </w:rPr>
              <w:t>0 20 123</w:t>
            </w:r>
          </w:p>
        </w:tc>
        <w:tc>
          <w:tcPr>
            <w:tcW w:type="dxa" w:w="1514"/>
          </w:tcPr>
          <w:p>
            <w:pPr>
              <w:spacing w:before="20" w:after="20"/>
            </w:pPr>
            <w:r/>
            <w:r>
              <w:rPr>
                <w:rFonts w:ascii="Verdana" w:hAnsi="Verdana"/>
                <w:b w:val="0"/>
                <w:sz w:val="16"/>
              </w:rPr>
              <w:t>Umbral mínimo para detección</w:t>
            </w:r>
          </w:p>
        </w:tc>
        <w:tc>
          <w:tcPr>
            <w:tcW w:type="dxa" w:w="1514"/>
          </w:tcPr>
          <w:p>
            <w:pPr>
              <w:spacing w:before="20" w:after="20"/>
            </w:pPr>
            <w:r/>
            <w:r>
              <w:rPr>
                <w:rFonts w:ascii="Verdana" w:hAnsi="Verdana"/>
                <w:sz w:val="16"/>
              </w:rPr>
              <w:t>Vm-1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Vm-1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102: Nivel de la señal mínimamente aceptable para procesar, por ejemplo, 0,005 V o 5 mV, o normalmente justo por encima del umbral mínimo de ruido del sensor.</w:t>
            </w:r>
          </w:p>
        </w:tc>
      </w:tr>
      <w:tr>
        <w:trPr>
          <w:cantSplit/>
        </w:trPr>
        <w:tc>
          <w:tcPr>
            <w:tcW w:type="dxa" w:w="1514"/>
          </w:tcPr>
          <w:p>
            <w:pPr>
              <w:spacing w:before="20" w:after="20"/>
            </w:pPr>
            <w:r/>
            <w:r>
              <w:rPr>
                <w:rFonts w:ascii="Verdana" w:hAnsi="Verdana"/>
                <w:b w:val="0"/>
                <w:sz w:val="16"/>
              </w:rPr>
              <w:t>0 20 124</w:t>
            </w:r>
          </w:p>
        </w:tc>
        <w:tc>
          <w:tcPr>
            <w:tcW w:type="dxa" w:w="1514"/>
          </w:tcPr>
          <w:p>
            <w:pPr>
              <w:spacing w:before="20" w:after="20"/>
            </w:pPr>
            <w:r/>
            <w:r>
              <w:rPr>
                <w:rFonts w:ascii="Verdana" w:hAnsi="Verdana"/>
                <w:b w:val="0"/>
                <w:sz w:val="16"/>
              </w:rPr>
              <w:t>Rayo o relámpago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0 20 126</w:t>
            </w:r>
          </w:p>
        </w:tc>
        <w:tc>
          <w:tcPr>
            <w:tcW w:type="dxa" w:w="1514"/>
          </w:tcPr>
          <w:p>
            <w:pPr>
              <w:spacing w:before="20" w:after="20"/>
            </w:pPr>
            <w:r/>
            <w:r>
              <w:rPr>
                <w:rFonts w:ascii="Verdana" w:hAnsi="Verdana"/>
                <w:b w:val="0"/>
                <w:sz w:val="16"/>
              </w:rPr>
              <w:t>Tasa de descargas de rayo</w:t>
            </w:r>
          </w:p>
        </w:tc>
        <w:tc>
          <w:tcPr>
            <w:tcW w:type="dxa" w:w="1514"/>
          </w:tcPr>
          <w:p>
            <w:pPr>
              <w:spacing w:before="20" w:after="20"/>
            </w:pPr>
            <w:r/>
            <w:r>
              <w:rPr>
                <w:rFonts w:ascii="Verdana" w:hAnsi="Verdana"/>
                <w:sz w:val="16"/>
              </w:rPr>
              <w:t>h</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h</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0 20 127</w:t>
            </w:r>
          </w:p>
        </w:tc>
        <w:tc>
          <w:tcPr>
            <w:tcW w:type="dxa" w:w="1514"/>
          </w:tcPr>
          <w:p>
            <w:pPr>
              <w:spacing w:before="20" w:after="20"/>
            </w:pPr>
            <w:r/>
            <w:r>
              <w:rPr>
                <w:rFonts w:ascii="Verdana" w:hAnsi="Verdana"/>
                <w:b w:val="0"/>
                <w:sz w:val="16"/>
              </w:rPr>
              <w:t>Rayos - distancia desde la estación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0 20 128</w:t>
            </w:r>
          </w:p>
        </w:tc>
        <w:tc>
          <w:tcPr>
            <w:tcW w:type="dxa" w:w="1514"/>
          </w:tcPr>
          <w:p>
            <w:pPr>
              <w:spacing w:before="20" w:after="20"/>
            </w:pPr>
            <w:r/>
            <w:r>
              <w:rPr>
                <w:rFonts w:ascii="Verdana" w:hAnsi="Verdana"/>
                <w:b w:val="0"/>
                <w:sz w:val="16"/>
              </w:rPr>
              <w:t>Rayos - dirección desde la estación</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0 20 129</w:t>
            </w:r>
          </w:p>
        </w:tc>
        <w:tc>
          <w:tcPr>
            <w:tcW w:type="dxa" w:w="1514"/>
          </w:tcPr>
          <w:p>
            <w:pPr>
              <w:spacing w:before="20" w:after="20"/>
            </w:pPr>
            <w:r/>
            <w:r>
              <w:rPr>
                <w:rFonts w:ascii="Verdana" w:hAnsi="Verdana"/>
                <w:b w:val="0"/>
                <w:sz w:val="16"/>
              </w:rPr>
              <w:t>Densidad de rayos (descarga, relámpago o fenómeno)</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0 20 130</w:t>
            </w:r>
          </w:p>
        </w:tc>
        <w:tc>
          <w:tcPr>
            <w:tcW w:type="dxa" w:w="1514"/>
          </w:tcPr>
          <w:p>
            <w:pPr>
              <w:spacing w:before="20" w:after="20"/>
            </w:pPr>
            <w:r/>
            <w:r>
              <w:rPr>
                <w:rFonts w:ascii="Verdana" w:hAnsi="Verdana"/>
                <w:b w:val="0"/>
                <w:sz w:val="16"/>
              </w:rPr>
              <w:t>Concentración de hidrometeoros de nube</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37: Faltante para los espectros no direccionales.</w:t>
            </w:r>
          </w:p>
        </w:tc>
      </w:tr>
      <w:tr>
        <w:trPr>
          <w:cantSplit/>
        </w:trPr>
        <w:tc>
          <w:tcPr>
            <w:tcW w:type="dxa" w:w="1514"/>
          </w:tcPr>
          <w:p>
            <w:pPr>
              <w:spacing w:before="20" w:after="20"/>
            </w:pPr>
            <w:r/>
            <w:r>
              <w:rPr>
                <w:rFonts w:ascii="Verdana" w:hAnsi="Verdana"/>
                <w:b w:val="0"/>
                <w:sz w:val="16"/>
              </w:rPr>
              <w:t>0 20 131</w:t>
            </w:r>
          </w:p>
        </w:tc>
        <w:tc>
          <w:tcPr>
            <w:tcW w:type="dxa" w:w="1514"/>
          </w:tcPr>
          <w:p>
            <w:pPr>
              <w:spacing w:before="20" w:after="20"/>
            </w:pPr>
            <w:r/>
            <w:r>
              <w:rPr>
                <w:rFonts w:ascii="Verdana" w:hAnsi="Verdana"/>
                <w:b w:val="0"/>
                <w:sz w:val="16"/>
              </w:rPr>
              <w:t>Radio efectivo de los hidrometeoros de nube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0 20 132</w:t>
            </w:r>
          </w:p>
        </w:tc>
        <w:tc>
          <w:tcPr>
            <w:tcW w:type="dxa" w:w="1514"/>
          </w:tcPr>
          <w:p>
            <w:pPr>
              <w:spacing w:before="20" w:after="20"/>
            </w:pPr>
            <w:r/>
            <w:r>
              <w:rPr>
                <w:rFonts w:ascii="Verdana" w:hAnsi="Verdana"/>
                <w:b w:val="0"/>
                <w:sz w:val="16"/>
              </w:rPr>
              <w:t>Contenido de agua líquida en nube</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0 20 133</w:t>
            </w:r>
          </w:p>
        </w:tc>
        <w:tc>
          <w:tcPr>
            <w:tcW w:type="dxa" w:w="1514"/>
          </w:tcPr>
          <w:p>
            <w:pPr>
              <w:spacing w:before="20" w:after="20"/>
            </w:pPr>
            <w:r/>
            <w:r>
              <w:rPr>
                <w:rFonts w:ascii="Verdana" w:hAnsi="Verdana"/>
                <w:b w:val="0"/>
                <w:sz w:val="16"/>
              </w:rPr>
              <w:t>Radio del hidrometeoro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0 20 135</w:t>
            </w:r>
          </w:p>
        </w:tc>
        <w:tc>
          <w:tcPr>
            <w:tcW w:type="dxa" w:w="1514"/>
          </w:tcPr>
          <w:p>
            <w:pPr>
              <w:spacing w:before="20" w:after="20"/>
            </w:pPr>
            <w:r/>
            <w:r>
              <w:rPr>
                <w:rFonts w:ascii="Verdana" w:hAnsi="Verdana"/>
                <w:b w:val="0"/>
                <w:sz w:val="16"/>
              </w:rPr>
              <w:t>Masa de hielo (en cilindro)</w:t>
            </w:r>
          </w:p>
        </w:tc>
        <w:tc>
          <w:tcPr>
            <w:tcW w:type="dxa" w:w="1514"/>
          </w:tcPr>
          <w:p>
            <w:pPr>
              <w:spacing w:before="20" w:after="20"/>
            </w:pPr>
            <w:r/>
            <w:r>
              <w:rPr>
                <w:rFonts w:ascii="Verdana" w:hAnsi="Verdana"/>
                <w:sz w:val="16"/>
              </w:rPr>
              <w:t>kg m</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0 20 136</w:t>
            </w:r>
          </w:p>
        </w:tc>
        <w:tc>
          <w:tcPr>
            <w:tcW w:type="dxa" w:w="1514"/>
          </w:tcPr>
          <w:p>
            <w:pPr>
              <w:spacing w:before="20" w:after="20"/>
            </w:pPr>
            <w:r/>
            <w:r>
              <w:rPr>
                <w:rFonts w:ascii="Verdana" w:hAnsi="Verdana"/>
                <w:b w:val="0"/>
                <w:sz w:val="16"/>
              </w:rPr>
              <w:t>Tipo de nubes suplementario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0 20 137</w:t>
            </w:r>
          </w:p>
        </w:tc>
        <w:tc>
          <w:tcPr>
            <w:tcW w:type="dxa" w:w="1514"/>
          </w:tcPr>
          <w:p>
            <w:pPr>
              <w:spacing w:before="20" w:after="20"/>
            </w:pPr>
            <w:r/>
            <w:r>
              <w:rPr>
                <w:rFonts w:ascii="Verdana" w:hAnsi="Verdana"/>
                <w:b w:val="0"/>
                <w:sz w:val="16"/>
              </w:rPr>
              <w:t>Evolución de las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0 20 138</w:t>
            </w:r>
          </w:p>
        </w:tc>
        <w:tc>
          <w:tcPr>
            <w:tcW w:type="dxa" w:w="1514"/>
          </w:tcPr>
          <w:p>
            <w:pPr>
              <w:spacing w:before="20" w:after="20"/>
            </w:pPr>
            <w:r/>
            <w:r>
              <w:rPr>
                <w:rFonts w:ascii="Verdana" w:hAnsi="Verdana"/>
                <w:b w:val="0"/>
                <w:sz w:val="16"/>
              </w:rPr>
              <w:t>Condición de la superficie de la carretera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bl>
    <w:p/>
    <w:p>
      <w:r>
        <w:rPr>
          <w:rFonts w:ascii="Verdana" w:hAnsi="Verdana"/>
          <w:i/>
          <w:sz w:val="14"/>
        </w:rPr>
        <w:t>Note 23: El valor –0,1 kg m–2 antes de la aplicación del factor de escala (–1 después de su aplicación o en la clave CREX) indicará “trazas” (no mensurable, menos de 0,05 kg m–2).</w:t>
      </w:r>
    </w:p>
    <w:p>
      <w:r>
        <w:rPr>
          <w:rFonts w:ascii="Verdana" w:hAnsi="Verdana"/>
          <w:i/>
          <w:sz w:val="14"/>
        </w:rPr>
        <w:t>Note 25: Una significación definida anteriormente puede anularse transmitiendo un “valor faltante” a partir de la tabla de cifrado o de banderines apropiada.</w:t>
      </w:r>
    </w:p>
    <w:p>
      <w:r>
        <w:rPr>
          <w:rFonts w:ascii="Verdana" w:hAnsi="Verdana"/>
          <w:i/>
          <w:sz w:val="14"/>
        </w:rPr>
        <w:t>Note 27: Todas las horas están expresadas en Tiempo Universal Coordinado (UTC), a menos que se indique lo contrario. I.2 – BUFR/CREX Tabla B/04 – 3</w:t>
      </w:r>
    </w:p>
    <w:p>
      <w:r>
        <w:rPr>
          <w:rFonts w:ascii="Verdana" w:hAnsi="Verdana"/>
          <w:i/>
          <w:sz w:val="14"/>
        </w:rPr>
        <w:t>Note 32: Solo se indicará el rumbo o azimut en relación con la localización comunicada que no volverá a especificarse.</w:t>
      </w:r>
    </w:p>
    <w:p>
      <w:r>
        <w:rPr>
          <w:rFonts w:ascii="Verdana" w:hAnsi="Verdana"/>
          <w:i/>
          <w:sz w:val="14"/>
        </w:rPr>
        <w:t>Note 62: Tan solo se indicará la distancia en relación con la localización comunicada y el rumbo, azimut o elevación y no se volverá a especificar esta localización.</w:t>
      </w:r>
    </w:p>
    <w:p>
      <w:r>
        <w:rPr>
          <w:rFonts w:ascii="Verdana" w:hAnsi="Verdana"/>
          <w:i/>
          <w:sz w:val="14"/>
        </w:rPr>
        <w:t>Note 63: Se asignarán valores positivos a la radiación descendente.</w:t>
      </w:r>
    </w:p>
    <w:p>
      <w:r>
        <w:rPr>
          <w:rFonts w:ascii="Verdana" w:hAnsi="Verdana"/>
          <w:i/>
          <w:sz w:val="14"/>
        </w:rPr>
        <w:t>Note 64: Se asignarán valores positivos a los componentes descendentes w cuando las unidades sean Pa s –1.</w:t>
      </w:r>
    </w:p>
    <w:p>
      <w:r>
        <w:rPr>
          <w:rFonts w:ascii="Verdana" w:hAnsi="Verdana"/>
          <w:i/>
          <w:sz w:val="14"/>
        </w:rPr>
        <w:t>Note 66: Se asignarán valores negativos a los incrementos este-oeste.</w:t>
      </w:r>
    </w:p>
    <w:p>
      <w:r>
        <w:rPr>
          <w:rFonts w:ascii="Verdana" w:hAnsi="Verdana"/>
          <w:i/>
          <w:sz w:val="14"/>
        </w:rPr>
        <w:t>Note 75: Para los descriptores CREX F = B, no 0.</w:t>
      </w:r>
    </w:p>
    <w:p>
      <w:r>
        <w:rPr>
          <w:rFonts w:ascii="Verdana" w:hAnsi="Verdana"/>
          <w:i/>
          <w:sz w:val="14"/>
        </w:rPr>
        <w:t>Note 92: Para distinguir claramente los casos de datos faltantes y de píxeles saturados, los datos de imagen de n bits deberían cifrarse utilizando una anchura de datos de n + 1. Si tal descriptor no está disponible ya en la Clase 30, debería utilizarse un descriptor de operación 2 01 YYY para modificar la anchura de datos de la entrada existente, si fuese necesario. I.2 – BUFR/CREX Tabla B/30 – 1</w:t>
      </w:r>
    </w:p>
    <w:p>
      <w:r>
        <w:rPr>
          <w:rFonts w:ascii="Verdana" w:hAnsi="Verdana"/>
          <w:i/>
          <w:sz w:val="14"/>
        </w:rPr>
        <w:t>Note 105: Para indicar períodos de tiempo o desplazamientos que preceden al tiempo definido actualmente se emplearán períodos de tiempo negativos o desplazamientos.</w:t>
      </w:r>
    </w:p>
    <w:p>
      <w:r>
        <w:rPr>
          <w:rFonts w:ascii="Verdana" w:hAnsi="Verdana"/>
          <w:i/>
          <w:sz w:val="14"/>
        </w:rPr>
        <w:t>Note 110: Se asignarán valores negativos a los incrementos norte-sur.</w:t>
      </w:r>
    </w:p>
    <w:p>
      <w:r>
        <w:rPr>
          <w:rFonts w:ascii="Verdana" w:hAnsi="Verdana"/>
          <w:i/>
          <w:sz w:val="14"/>
        </w:rPr>
        <w:t>Note 115: La anchura de datos de los píxeles puede cambiarse mediante el descriptor 2 01 YYY.</w:t>
      </w:r>
    </w:p>
    <w:p>
      <w:r>
        <w:rPr>
          <w:rFonts w:ascii="Verdana" w:hAnsi="Verdana"/>
          <w:i/>
          <w:sz w:val="14"/>
        </w:rPr>
        <w:t>Note 121: En relación con determinados elementos de esta clase, pueden consignarse algunas indicaciones sobre la precisión prevista.</w:t>
      </w:r>
    </w:p>
    <w:p>
      <w:r>
        <w:rPr>
          <w:rFonts w:ascii="Verdana" w:hAnsi="Verdana"/>
          <w:i/>
          <w:sz w:val="14"/>
        </w:rPr>
        <w:t>Note 122: Se asignarán valores negativos a la latitud sur.</w:t>
      </w:r>
    </w:p>
    <w:p>
      <w:r>
        <w:rPr>
          <w:rFonts w:ascii="Verdana" w:hAnsi="Verdana"/>
          <w:i/>
          <w:sz w:val="14"/>
        </w:rPr>
        <w:t>Note 123: Se asignarán valores positivos a los componentes v en sentido sur–norte.</w:t>
      </w:r>
    </w:p>
    <w:p>
      <w:r>
        <w:rPr>
          <w:rFonts w:ascii="Verdana" w:hAnsi="Verdana"/>
          <w:i/>
          <w:sz w:val="14"/>
        </w:rPr>
        <w:t>Note 126: Los informes sobre la dirección del viento de superficie resultantes de mediciones dentro del 1° del Polo Norte o del Polo Sur se notificarán de manera que el cero de su acimut esté alineado, coincidiendo con los 0° del meridiano de Greenwich. I.2 – BUFR/CREX Tabla B/11 – 6</w:t>
      </w:r>
    </w:p>
    <w:p>
      <w:r>
        <w:rPr>
          <w:rFonts w:ascii="Verdana" w:hAnsi="Verdana"/>
          <w:i/>
          <w:sz w:val="14"/>
        </w:rPr>
        <w:t>Note 140: El tamaño del píxel en la horizontal – 1 está dado por la posición donde el factor de escala del mapa es igual a la unidad.</w:t>
      </w:r>
    </w:p>
    <w:p>
      <w:r>
        <w:rPr>
          <w:rFonts w:ascii="Verdana" w:hAnsi="Verdana"/>
          <w:i/>
          <w:sz w:val="14"/>
        </w:rPr>
        <w:t>Note 141: El tamaño del píxel en la horizontal – 2 está dado por la posición donde el factor de escala del mapa es igual a la unidad.</w:t>
      </w:r>
    </w:p>
    <w:p>
      <w:r>
        <w:rPr>
          <w:rFonts w:ascii="Verdana" w:hAnsi="Verdana"/>
          <w:i/>
          <w:sz w:val="14"/>
        </w:rPr>
        <w:t>Note 145: La significación de los períodos o desplazamientos de tiempo se puede indicar utilizando la clave de significación del tiempo correspondiente a la referencia de tabla 0 08 021.</w:t>
      </w:r>
    </w:p>
    <w:p>
      <w:r>
        <w:rPr>
          <w:rFonts w:ascii="Verdana" w:hAnsi="Verdana"/>
          <w:i/>
          <w:sz w:val="14"/>
        </w:rPr>
        <w:t>Note 149: La localización del tiempo, cuando se utiliza con valores de predicción, indicará la hora del estado inicial de la predicción o el comienzo del período de predicción; cuando se utilice con promedios de conjunto de valores de predicción, la localización del tiempo indicará el estado inicial o el comienzo de la primera predicción de las que se obtienen los valores medios de conjunto</w:t>
      </w:r>
    </w:p>
    <w:p>
      <w:r>
        <w:rPr>
          <w:rFonts w:ascii="Verdana" w:hAnsi="Verdana"/>
          <w:i/>
          <w:sz w:val="14"/>
        </w:rPr>
        <w:t>Note 155: Esta clase también puede contener elementos relativos a los procedimientos de observación.</w:t>
      </w:r>
    </w:p>
    <w:p>
      <w:r>
        <w:rPr>
          <w:rFonts w:ascii="Verdana" w:hAnsi="Verdana"/>
          <w:i/>
          <w:sz w:val="14"/>
        </w:rPr>
        <w:t>Note 156: Esta clase incluirá elementos que describen los instrumentos que se utilizan para obtener los elementos meteorológicos transmitidos.</w:t>
      </w:r>
    </w:p>
    <w:p>
      <w:r>
        <w:rPr>
          <w:rFonts w:ascii="Verdana" w:hAnsi="Verdana"/>
          <w:i/>
          <w:sz w:val="14"/>
        </w:rPr>
        <w:t>Note 158: Respecto a los períodos o desplazamientos de tiempo, e incrementos de tiempo, será necesario determinar la localización inicial del tiempo antes de utilizarlos, y a continuación, según corresponda, se indicará la definición y significación del tiempo.</w:t>
      </w:r>
    </w:p>
    <w:p>
      <w:r>
        <w:rPr>
          <w:rFonts w:ascii="Verdana" w:hAnsi="Verdana"/>
          <w:i/>
          <w:sz w:val="14"/>
        </w:rPr>
        <w:t>Note 160: Se asignarán valores negativos a la radiación ascendente.</w:t>
      </w:r>
    </w:p>
    <w:p>
      <w:r>
        <w:rPr>
          <w:rFonts w:ascii="Verdana" w:hAnsi="Verdana"/>
          <w:i/>
          <w:sz w:val="14"/>
        </w:rPr>
        <w:t>Note 161: Se asignarán valores positivos a los componentes ascendentes w cuando las unidades sean m s–1.</w:t>
      </w:r>
    </w:p>
    <w:p>
      <w:r>
        <w:rPr>
          <w:rFonts w:ascii="Verdana" w:hAnsi="Verdana"/>
          <w:i/>
          <w:sz w:val="14"/>
        </w:rPr>
        <w:t>Note 162: Intervalos útiles utilizados: de 1011 Bq a 1019 Bq para emisiones; de 10–2 Bq a 107 Bq y de 10–2 mSv a 107 mSv para concentraciones y dosis.</w:t>
      </w:r>
    </w:p>
    <w:p>
      <w:r>
        <w:rPr>
          <w:rFonts w:ascii="Verdana" w:hAnsi="Verdana"/>
          <w:i/>
          <w:sz w:val="14"/>
        </w:rPr>
        <w:t>Note 163: Los valores de la latitud y de los incrementos de latitud quedan comprendidos entre –90 grados y +90 grados.</w:t>
      </w:r>
    </w:p>
    <w:p>
      <w:r>
        <w:rPr>
          <w:rFonts w:ascii="Verdana" w:hAnsi="Verdana"/>
          <w:i/>
          <w:sz w:val="14"/>
        </w:rPr>
        <w:t>Note 164: Los valores de longitud quedarán comprendidos entre –180 grados y +180 grados.</w:t>
      </w:r>
    </w:p>
    <w:p>
      <w:r>
        <w:rPr>
          <w:rFonts w:ascii="Verdana" w:hAnsi="Verdana"/>
          <w:i/>
          <w:sz w:val="14"/>
        </w:rPr>
        <w:t>Note 165: Se indicarán los elementos verticales y la presión para determinar los valores de estos elementos con independencia del elemento o variable que indique la coordenada vertical.</w:t>
      </w:r>
    </w:p>
    <w:p>
      <w:r>
        <w:rPr>
          <w:rFonts w:ascii="Verdana" w:hAnsi="Verdana"/>
          <w:i/>
          <w:sz w:val="14"/>
        </w:rPr>
        <w:t>Note 166: Se asignarán valores negativos a la longitud oeste.</w:t>
      </w:r>
    </w:p>
    <w:p>
      <w:r>
        <w:rPr>
          <w:rFonts w:ascii="Verdana" w:hAnsi="Verdana"/>
          <w:i/>
          <w:sz w:val="14"/>
        </w:rPr>
        <w:t>Note 167: Se asignarán valores positivos a los componentes u en sentido oeste–este.</w:t>
      </w:r>
    </w:p>
    <w:p>
      <w:r>
        <w:rPr>
          <w:rFonts w:ascii="Verdana" w:hAnsi="Verdana"/>
          <w:i/>
          <w:sz w:val="14"/>
        </w:rPr>
        <w:t>Note 176: Cuando sea necesario indicar más de un período o desplazamiento de tiempo para hacer indicaciones de tiempo complejas se definirán en sucesión inmediata en el siguiente orden: período conjunto (según corresponda), seguido por el período de predicción (según corresponda), seguido por el período de promedio o acumulación (según corresponda).</w:t>
      </w:r>
    </w:p>
    <w:p>
      <w:r>
        <w:rPr>
          <w:rFonts w:ascii="Verdana" w:hAnsi="Verdana"/>
          <w:i/>
          <w:sz w:val="14"/>
        </w:rPr>
        <w:t>Note 178: Cuando se indique la expresión “período determinado” en la columna “nombre del elemento”, deberá indicarse el período correspondiente, utilizando referencias de la Clase 04.</w:t>
      </w:r>
    </w:p>
    <w:p>
      <w:r>
        <w:rPr>
          <w:rFonts w:ascii="Verdana" w:hAnsi="Verdana"/>
          <w:i/>
          <w:sz w:val="14"/>
        </w:rPr>
        <w:t>Note 179: Cuando se acumulen o promedien los valores (por ejemplo en relación con un determinado período de tiempo), el número total de valores de los que se obtienen los valores acumulados o promediados podrán representarse utilizando la referencia 0 08 022.</w:t>
      </w:r>
    </w:p>
    <w:p>
      <w:r>
        <w:rPr>
          <w:rFonts w:ascii="Verdana" w:hAnsi="Verdana"/>
          <w:i/>
          <w:sz w:val="14"/>
        </w:rPr>
        <w:t>Note 180: Normas para la información sobre vientos: Velocidad Dirección Valor faltante Valor faltante Calma 0 0 Observación normal &gt;0 1°–360° Velocidad solamente &gt;0 Valor faltante Dirección solamente Valor faltante 1°–360° “Ligero y variable” &gt;0 0 No hay observaciones</w:t>
      </w:r>
    </w:p>
    <w:p>
      <w:r>
        <w:rPr>
          <w:rFonts w:ascii="Verdana" w:hAnsi="Verdana"/>
          <w:i/>
          <w:sz w:val="14"/>
        </w:rPr>
        <w:t>Note 181: Normas de notificación sobre mar de viento y olas: Observación Velocidad Dirección Ninguna observación faltante faltante Calma 0 0 Observación normal &gt;0 1–360 Velocidad únicamente &gt;0 faltante Dirección únicamente faltante 1–360 &gt;0 0 “Ligero y variable”</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