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21: Datos de radar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horizontal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vertical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Reflectividad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despolarización lineal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de despolarización circular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Y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en la dirección 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media Doppler (radial)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Ancho espectral de la velocidad Doppler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NYQUIST ampliada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NYQUIST alta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los ecos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de la cuadrícula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Tamaño de la cuadrícula de alcance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Desplazamiento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azimutal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Fase diferencial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correlación de la polarización cruzada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Relación señal-ruido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Contenido de agua líquida integrado verticalmente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kg m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 las precipitaciones medidas por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 s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banda brillante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Potencia de la señal superior a 1 mW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Retrodispersión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Resolución radiométrica (valor del ruido)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Ruido estimado de los ecos parásitos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Contador de paquetes faltantes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dispersímetro de onda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del altímetro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sobre el grado de confianza del producto de la medición de la temperatura de la superficie del mar (SADIST-2)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la calibración del altímetro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del instrumento del altímetro del satélite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Intensidad del espectro de la imagen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Representación de intensidades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(ionosfera)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seca)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(troposfera húmeda)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la altitud (constante de calibración)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(bucle altura-tiempo)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en bucle abierto (control automático de gacia)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caliente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Calibración de objetivo frío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bandas transversales del radiómetro ATSR para la exploración de la temperatura de la superficie del mar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el nadir solamente,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píxeles en vista dual, promedio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Retrodifusor húmedo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Momento 0 del espectro Doppler de la señal RASS (sistema de sondeo radio-acústico), con referencia a la señal RASS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de la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Encrestamiento (máximas) de la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Kp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ambigüedades del vector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del vector seleccionado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total de mediciones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calculada para la 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(alfa)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(beta)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vector viento medida en el interior de la célula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(delante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(delante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interior (detrás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sigma-0 del haz exterior (detrás del satélite)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variancia Kp (gamma)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-140000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sigma-0 determinada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Modo de sigma-0 determinado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de la variancia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Función geofísica modélica del dispersómetro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 lluvia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Índice de lluvia determinado por SeaWinds a partir de una función objetiva normalizada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atenuación aplicada a sigma-0 (a partir de tB)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Sección representativa normalizada del radar determinada por SeaWinds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por segundo utilizados para derivar parámetros anteriores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total del espectro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Energía máxima del espectro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energía espectral máxima en la retícula de alta resolución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 onda de la energía espectral máxima en la retícula de alta resolución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resolución del espectro de covarianza transversal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rad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real del número de células del espectro transversal en una retícula polar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Parte imaginaria del número de células del espectro transversal en una retícula polar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-524288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Ku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S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Atenuación por lluvia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lluvia de altímetro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variación en borde posterior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Coubicación de haces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Sigma-0 en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Pendiente a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estimado en la pendiente en un ángulo de incidencia de 40°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grado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Sensibilidad de la humedad del suelo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célula del vector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Distancia del retrodifusor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Pérdida por unidad de longitud de la atmósfera utilizada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m⁻¹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 m</w:t>
            </w:r>
            <w:r>
              <w:rPr>
                <w:rFonts w:ascii="Verdana" w:hAnsi="Verdana"/>
                <w:sz w:val="16"/>
                <w:vertAlign w:val="superscript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estimación de la Kp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0 21 159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Utilizabilidad de Sigma-0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Utilización de datos sintéticos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Cantidad de los datos sintéticos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órbita y actitud satelital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Contaminación de la reflexión del panel solar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y calidad de telemetría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Presencia de la función de referencia extrapolada de ASCAT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terrestre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0 21 169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presencia de hielo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oceánica corregido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coeficiente de retrodispersión oceánica corregido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del CAG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C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de variabilidad de alta frecuencia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típica del coeficiente de retrodispersión del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del desplazamiento del centro de gravedad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coeficiente de retrodispersión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de retrodispersión oceánico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Máximas en banda Ku a 20 Hz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oceánica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estándar de retrodispersión oceánica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Corrección instrumental neta en banda específica para control automático de gacia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automático de gacia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Media cuadrática del control automático de gacia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puntos válidos respecto del control automático de gacia en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0 21 189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Coeficiente corregido de retrodispersión del desplazamiento del centro de gravedad (referencia negativa)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dB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11: No debería utilizarse el descriptor 3 01 002.</w:t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