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23: Dispersión y transporte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Artículos aplicables a la notificación rápida de un accidente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Actividad o instalación relacionada con 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Contramedidas tomadas cerca de la frontera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Causa del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luego del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Características de la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de sustancias: estado actual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Emisión de sustancias: estado previsto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Riesgo de una importante intoxicación de origen químico que afecte a la salud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Caudal de la principal masa de agua receptora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Evolución de la emisión de sustancias con el paso del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real de la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efectiva de la emisión de sustancias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punto de emisión de sustancias al sitio del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transporte principal en la atmósfera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transporte principal en 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transporte principal en el agua subterránea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transporte principal en la atmósfera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transporte principal en el agua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transporte principal en el agua subterránea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Riesgo de que la columna radiactiva encuentre precipitaciones en el país en que ha ocurrido el incidente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Posibilidad de que la columna radiactiva sea afectada por un cambio en la dirección y/o en la velocidad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Caudal – río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Caudal – pozo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m³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