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27: Ubicación sin coordenadas (horizontal –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alterna (exactitud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132: Se puede utilizar la latitud alterna cuando el cálculo de la posición nos da varias soluciones y a priori no hay modo de distinguir entre ellas.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alterna (gran exactitud)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132: Se puede utilizar la latitud alterna cuando el cálculo de la posición nos da varias soluciones y a priori no hay modo de distinguir entre ellas.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de huella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Contador de la ubicación de los satélites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143: El contador de ubicación de los satélites se calcula como sigue: = número de superbanda x 1 000 + número de casilla x 10 + número de minicasilla.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Dimensión de sububicación de los satélites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144: La dimensión de la sububicación de los satélites se calcula como sigue: dimensión = dimensión de minicasilla + dimensión de casilla donde: dimensión de minicasilla = líneas x 1000 + puntos x 100 dimensión de casilla = líneas x 10 + puntos. I.2 – BUFR/CREX Tabla B/27 – 1 (Clase 27 – continuación)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de 0 grados de longitud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96: Para el descriptor 0 27 031 se han escogido ejes x, y y z negativos. I.2 – BUFR/CREX Tabla B/27 – 2 | Note 151: El valor para el descriptor 0 27 031 ha sido escogido para adecuarse a satélites en órbita polar en órbitas aproximadamente heliosincrónicas. Las órbitas geoestacionarias requerirían una anchura de datos mayor para la distancia y ligeramente menor para la velocidad.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horizontal del volumen de muestra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visión azimutal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