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35: Información sobre el control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clave FM y regional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Plazo de tiempo para 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informes efectivamente recibidos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Discrepancias en cuanto a la disponibilidad de datos esperados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los resultados del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 los datos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Deficiencias de observación y recopilación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Tendencias estadísticas de la disponibilidad de datos (durante el (los) período(s) examinado(s)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