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04: Secuencias meteorológicas comunes a las observaciones satelitales</w:t>
      </w:r>
    </w:p>
    <w:p>
      <w:r>
        <w:rPr>
          <w:rFonts w:ascii="Verdana" w:hAnsi="Verdana"/>
          <w:b/>
          <w:sz w:val="18"/>
        </w:rPr>
        <w:t>3 04 001 (Presión en la cima de la nube, temperatura,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04 002 (Presión en la cima de la nube,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04 003 (Temperatura en la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04 004 (Presión en la cima de la nube, nubosidad,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04 005 (Humedad relativa media de la capa)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Definir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04 006 (Radiación)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Radiación de onda larga, integrada durante 24 horas</w:t>
            </w:r>
          </w:p>
        </w:tc>
        <w:tc>
          <w:tcPr>
            <w:tcW w:type="dxa" w:w="3784"/>
          </w:tcPr>
          <w:p>
            <w:pPr>
              <w:spacing w:before="20" w:after="20"/>
            </w:pPr>
            <w:r/>
            <w:r>
              <w:rPr>
                <w:rFonts w:ascii="Verdana" w:hAnsi="Verdana"/>
                <w:b w:val="0"/>
                <w:sz w:val="16"/>
              </w:rPr>
              <w:t>Radiación saliente de onda larga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Radiación de onda larga, integrada durante 24 horas</w:t>
            </w:r>
          </w:p>
        </w:tc>
        <w:tc>
          <w:tcPr>
            <w:tcW w:type="dxa" w:w="3784"/>
          </w:tcPr>
          <w:p>
            <w:pPr>
              <w:spacing w:before="20" w:after="20"/>
            </w:pPr>
            <w:r/>
            <w:r>
              <w:rPr>
                <w:rFonts w:ascii="Verdana" w:hAnsi="Verdana"/>
                <w:b w:val="0"/>
                <w:sz w:val="16"/>
              </w:rPr>
              <w:t>Radiación incidente de onda larga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0 14 003</w:t>
            </w:r>
          </w:p>
        </w:tc>
        <w:tc>
          <w:tcPr>
            <w:tcW w:type="dxa" w:w="3784"/>
          </w:tcPr>
          <w:p>
            <w:pPr>
              <w:spacing w:before="20" w:after="20"/>
            </w:pPr>
            <w:r/>
            <w:r>
              <w:rPr>
                <w:rFonts w:ascii="Verdana" w:hAnsi="Verdana"/>
                <w:b w:val="0"/>
                <w:sz w:val="16"/>
              </w:rPr>
              <w:t>Radiación de onda corta, integrada durante 24 horas</w:t>
            </w:r>
          </w:p>
        </w:tc>
        <w:tc>
          <w:tcPr>
            <w:tcW w:type="dxa" w:w="3784"/>
          </w:tcPr>
          <w:p>
            <w:pPr>
              <w:spacing w:before="20" w:after="20"/>
            </w:pPr>
            <w:r/>
            <w:r>
              <w:rPr>
                <w:rFonts w:ascii="Verdana" w:hAnsi="Verdana"/>
                <w:b w:val="0"/>
                <w:sz w:val="16"/>
              </w:rPr>
              <w:t>Radiación saliente de onda corta</w:t>
            </w:r>
          </w:p>
        </w:tc>
        <w:tc>
          <w:tcPr>
            <w:tcW w:type="dxa" w:w="3784"/>
          </w:tcPr>
          <w:p>
            <w:pPr>
              <w:spacing w:before="20" w:after="20"/>
            </w:pPr>
            <w:r/>
            <w:r>
              <w:rPr>
                <w:rFonts w:ascii="Verdana" w:hAnsi="Verdana"/>
                <w:b w:val="0"/>
                <w:sz w:val="16"/>
              </w:rPr>
            </w:r>
          </w:p>
        </w:tc>
      </w:tr>
    </w:tbl>
    <w:p/>
    <w:p>
      <w:r>
        <w:rPr>
          <w:rFonts w:ascii="Verdana" w:hAnsi="Verdana"/>
          <w:b/>
          <w:sz w:val="18"/>
        </w:rPr>
        <w:t>3 04 011 (Información GOES-I/M)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Método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Método de correlación del trazador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0 02 057</w:t>
            </w:r>
          </w:p>
        </w:tc>
        <w:tc>
          <w:tcPr>
            <w:tcW w:type="dxa" w:w="3784"/>
          </w:tcPr>
          <w:p>
            <w:pPr>
              <w:spacing w:before="20" w:after="20"/>
            </w:pPr>
            <w:r/>
            <w:r>
              <w:rPr>
                <w:rFonts w:ascii="Verdana" w:hAnsi="Verdana"/>
                <w:b w:val="0"/>
                <w:sz w:val="16"/>
              </w:rPr>
              <w:t>Origen de la información de primera aproximación para sondeos de satélites GOES-I/M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1 10 004</w:t>
            </w:r>
          </w:p>
        </w:tc>
        <w:tc>
          <w:tcPr>
            <w:tcW w:type="dxa" w:w="3784"/>
          </w:tcPr>
          <w:p>
            <w:pPr>
              <w:spacing w:before="20" w:after="20"/>
            </w:pPr>
            <w:r/>
            <w:r>
              <w:rPr>
                <w:rFonts w:ascii="Verdana" w:hAnsi="Verdana"/>
                <w:b w:val="0"/>
                <w:sz w:val="16"/>
              </w:rPr>
              <w:t>Repetir 10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1 03 010</w:t>
            </w:r>
          </w:p>
        </w:tc>
        <w:tc>
          <w:tcPr>
            <w:tcW w:type="dxa" w:w="3784"/>
          </w:tcPr>
          <w:p>
            <w:pPr>
              <w:spacing w:before="20" w:after="20"/>
            </w:pPr>
            <w:r/>
            <w:r>
              <w:rPr>
                <w:rFonts w:ascii="Verdana" w:hAnsi="Verdana"/>
                <w:b w:val="0"/>
                <w:sz w:val="16"/>
              </w:rPr>
              <w:t>Repetir 3 descriptores 10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Método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04 030 (Ubicación de la plataforma)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0 27 031</w:t>
            </w:r>
          </w:p>
        </w:tc>
        <w:tc>
          <w:tcPr>
            <w:tcW w:type="dxa" w:w="3784"/>
          </w:tcPr>
          <w:p>
            <w:pPr>
              <w:spacing w:before="20" w:after="20"/>
            </w:pPr>
            <w:r/>
            <w:r>
              <w:rPr>
                <w:rFonts w:ascii="Verdana" w:hAnsi="Verdana"/>
                <w:b w:val="0"/>
                <w:sz w:val="16"/>
              </w:rPr>
              <w:t>Distancia desde el centro de la Tierra en dirección de 0 grados de longitud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0 28 031</w:t>
            </w:r>
          </w:p>
        </w:tc>
        <w:tc>
          <w:tcPr>
            <w:tcW w:type="dxa" w:w="3784"/>
          </w:tcPr>
          <w:p>
            <w:pPr>
              <w:spacing w:before="20" w:after="20"/>
            </w:pPr>
            <w:r/>
            <w:r>
              <w:rPr>
                <w:rFonts w:ascii="Verdana" w:hAnsi="Verdana"/>
                <w:b w:val="0"/>
                <w:sz w:val="16"/>
              </w:rPr>
              <w:t>Distancia desde el centro de la Tierra en dirección 90 grados Este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0 10 031</w:t>
            </w:r>
          </w:p>
        </w:tc>
        <w:tc>
          <w:tcPr>
            <w:tcW w:type="dxa" w:w="3784"/>
          </w:tcPr>
          <w:p>
            <w:pPr>
              <w:spacing w:before="20" w:after="20"/>
            </w:pPr>
            <w:r/>
            <w:r>
              <w:rPr>
                <w:rFonts w:ascii="Verdana" w:hAnsi="Verdana"/>
                <w:b w:val="0"/>
                <w:sz w:val="16"/>
              </w:rPr>
              <w:t>Distancia desde el centro de la Tierra en dirección al Polo Norte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04 031 (Velocidad de la plataforma)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0 01 041</w:t>
            </w:r>
          </w:p>
        </w:tc>
        <w:tc>
          <w:tcPr>
            <w:tcW w:type="dxa" w:w="3784"/>
          </w:tcPr>
          <w:p>
            <w:pPr>
              <w:spacing w:before="20" w:after="20"/>
            </w:pPr>
            <w:r/>
            <w:r>
              <w:rPr>
                <w:rFonts w:ascii="Verdana" w:hAnsi="Verdana"/>
                <w:b w:val="0"/>
                <w:sz w:val="16"/>
              </w:rPr>
              <w:t>Velocidad absoluta de la plataforma - primer componente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0 01 042</w:t>
            </w:r>
          </w:p>
        </w:tc>
        <w:tc>
          <w:tcPr>
            <w:tcW w:type="dxa" w:w="3784"/>
          </w:tcPr>
          <w:p>
            <w:pPr>
              <w:spacing w:before="20" w:after="20"/>
            </w:pPr>
            <w:r/>
            <w:r>
              <w:rPr>
                <w:rFonts w:ascii="Verdana" w:hAnsi="Verdana"/>
                <w:b w:val="0"/>
                <w:sz w:val="16"/>
              </w:rPr>
              <w:t>Velocidad absoluta de la plataforma - segundo componente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0 01 043</w:t>
            </w:r>
          </w:p>
        </w:tc>
        <w:tc>
          <w:tcPr>
            <w:tcW w:type="dxa" w:w="3784"/>
          </w:tcPr>
          <w:p>
            <w:pPr>
              <w:spacing w:before="20" w:after="20"/>
            </w:pPr>
            <w:r/>
            <w:r>
              <w:rPr>
                <w:rFonts w:ascii="Verdana" w:hAnsi="Verdana"/>
                <w:b w:val="0"/>
                <w:sz w:val="16"/>
              </w:rPr>
              <w:t>Velocidad absoluta de la plataforma - tercer componente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04 032 (Fracción nubosa)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Ancho de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Cantidad de segmento sin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04 033 (Radiancia en cielo despejado)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satelital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0 02 166</w:t>
            </w:r>
          </w:p>
        </w:tc>
        <w:tc>
          <w:tcPr>
            <w:tcW w:type="dxa" w:w="3784"/>
          </w:tcPr>
          <w:p>
            <w:pPr>
              <w:spacing w:before="20" w:after="20"/>
            </w:pPr>
            <w:r/>
            <w:r>
              <w:rPr>
                <w:rFonts w:ascii="Verdana" w:hAnsi="Verdana"/>
                <w:b w:val="0"/>
                <w:sz w:val="16"/>
              </w:rPr>
              <w:t>Tipo de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Método de cálculo de la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Ancho de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0 12 075</w:t>
            </w:r>
          </w:p>
        </w:tc>
        <w:tc>
          <w:tcPr>
            <w:tcW w:type="dxa" w:w="3784"/>
          </w:tcPr>
          <w:p>
            <w:pPr>
              <w:spacing w:before="20" w:after="20"/>
            </w:pPr>
            <w:r/>
            <w:r>
              <w:rPr>
                <w:rFonts w:ascii="Verdana" w:hAnsi="Verdana"/>
                <w:b w:val="0"/>
                <w:sz w:val="16"/>
              </w:rPr>
              <w:t>Radiancia espectral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0 12 076</w:t>
            </w:r>
          </w:p>
        </w:tc>
        <w:tc>
          <w:tcPr>
            <w:tcW w:type="dxa" w:w="3784"/>
          </w:tcPr>
          <w:p>
            <w:pPr>
              <w:spacing w:before="20" w:after="20"/>
            </w:pPr>
            <w:r/>
            <w:r>
              <w:rPr>
                <w:rFonts w:ascii="Verdana" w:hAnsi="Verdana"/>
                <w:b w:val="0"/>
                <w:sz w:val="16"/>
              </w:rPr>
              <w:t>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04 034 (Latitud/longitud, elevación solar, número de capas)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Repetir 2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Elevación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Recuperación de datos sobre el número de 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04 035 (Datos de radiancia del cielo completo)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Ancho de la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Tipo de píxel: despejado</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Despejado</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Tipo de píxel: nuboso</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Nuboso</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t>Note 1: El descriptor 3 04 035 se ha relegado.</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t>Note 1: El descriptor 3 04 035 se ha relegado.</w:t>
            </w:r>
          </w:p>
        </w:tc>
      </w:tr>
    </w:tbl>
    <w:p/>
    <w:p>
      <w:r>
        <w:rPr>
          <w:rFonts w:ascii="Verdana" w:hAnsi="Verdana"/>
          <w:b/>
          <w:sz w:val="18"/>
        </w:rPr>
        <w:t>3 04 036 (Cobertura de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Cantidad de segmento sin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t>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Cantidad de segmento sin nubes</w:t>
            </w:r>
          </w:p>
        </w:tc>
        <w:tc>
          <w:tcPr>
            <w:tcW w:type="dxa" w:w="3784"/>
          </w:tcPr>
          <w:p>
            <w:pPr>
              <w:spacing w:before="20" w:after="20"/>
            </w:pPr>
            <w:r/>
            <w:r>
              <w:rPr>
                <w:rFonts w:ascii="Verdana" w:hAnsi="Verdana"/>
                <w:b w:val="0"/>
                <w:sz w:val="16"/>
              </w:rPr>
              <w:t>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04 037 (Datos de radiancia del cielo completo)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Ancho de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Tipo de píxel: despejado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Despejado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Tipo de píxel: nuboso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Nuboso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medias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lumicia</w:t>
            </w:r>
          </w:p>
        </w:tc>
        <w:tc>
          <w:tcPr>
            <w:tcW w:type="dxa" w:w="3784"/>
          </w:tcPr>
          <w:p>
            <w:pPr>
              <w:spacing w:before="20" w:after="20"/>
            </w:pPr>
            <w:r/>
            <w:r>
              <w:rPr>
                <w:rFonts w:ascii="Verdana" w:hAnsi="Verdana"/>
                <w:b w:val="0"/>
                <w:sz w:val="16"/>
              </w:rPr>
              <w:t>Nubes altas</w:t>
            </w:r>
          </w:p>
        </w:tc>
        <w:tc>
          <w:tcPr>
            <w:tcW w:type="dxa" w:w="3784"/>
          </w:tcPr>
          <w:p>
            <w:pPr>
              <w:spacing w:before="20" w:after="20"/>
            </w:pPr>
            <w:r/>
            <w:r>
              <w:rPr>
                <w:rFonts w:ascii="Verdana" w:hAnsi="Verdana"/>
                <w:b w:val="0"/>
                <w:sz w:val="16"/>
              </w:rPr>
            </w:r>
          </w:p>
        </w:tc>
      </w:tr>
    </w:tbl>
    <w:p/>
    <w:p>
      <w:r>
        <w:rPr>
          <w:rFonts w:ascii="Verdana" w:hAnsi="Verdana"/>
          <w:b/>
          <w:sz w:val="18"/>
        </w:rPr>
        <w:t>3 04 039 (Radiancia en el canal)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8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Valor ajustado de la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04 040 (Índice del componente principal en la banda)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Factor de cuantificación del índice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Media cuadrática residual en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Identificación de la base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Índice no normalizado del componente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