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22: Secuencias de sustancias químicas y aerosoles</w:t>
      </w:r>
    </w:p>
    <w:p>
      <w:r>
        <w:rPr>
          <w:rFonts w:ascii="Verdana" w:hAnsi="Verdana"/>
          <w:b/>
          <w:sz w:val="18"/>
        </w:rPr>
        <w:t>3 22 028 (GOME-2 de METOP)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0 10 001</w:t>
            </w:r>
          </w:p>
        </w:tc>
        <w:tc>
          <w:tcPr>
            <w:tcW w:type="dxa" w:w="3784"/>
          </w:tcPr>
          <w:p>
            <w:pPr>
              <w:spacing w:before="20" w:after="20"/>
            </w:pPr>
            <w:r/>
            <w:r>
              <w:rPr>
                <w:rFonts w:ascii="Verdana" w:hAnsi="Verdana"/>
                <w:b w:val="0"/>
                <w:sz w:val="16"/>
              </w:rPr>
              <w:t>Altura del terreno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0 14 019</w:t>
            </w:r>
          </w:p>
        </w:tc>
        <w:tc>
          <w:tcPr>
            <w:tcW w:type="dxa" w:w="3784"/>
          </w:tcPr>
          <w:p>
            <w:pPr>
              <w:spacing w:before="20" w:after="20"/>
            </w:pPr>
            <w:r/>
            <w:r>
              <w:rPr>
                <w:rFonts w:ascii="Verdana" w:hAnsi="Verdana"/>
                <w:b w:val="0"/>
                <w:sz w:val="16"/>
              </w:rPr>
              <w:t>Albedo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0 10 080</w:t>
            </w:r>
          </w:p>
        </w:tc>
        <w:tc>
          <w:tcPr>
            <w:tcW w:type="dxa" w:w="3784"/>
          </w:tcPr>
          <w:p>
            <w:pPr>
              <w:spacing w:before="20" w:after="20"/>
            </w:pPr>
            <w:r/>
            <w:r>
              <w:rPr>
                <w:rFonts w:ascii="Verdana" w:hAnsi="Verdana"/>
                <w:b w:val="0"/>
                <w:sz w:val="16"/>
              </w:rPr>
              <w:t>Ángulo cenital de visión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0 05 023</w:t>
            </w:r>
          </w:p>
        </w:tc>
        <w:tc>
          <w:tcPr>
            <w:tcW w:type="dxa" w:w="3784"/>
          </w:tcPr>
          <w:p>
            <w:pPr>
              <w:spacing w:before="20" w:after="20"/>
            </w:pPr>
            <w:r/>
            <w:r>
              <w:rPr>
                <w:rFonts w:ascii="Verdana" w:hAnsi="Verdana"/>
                <w:b w:val="0"/>
                <w:sz w:val="16"/>
              </w:rPr>
              <w:t>Diferencia entre azimut solar y satelital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Cubierta de nubes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0 14 026</w:t>
            </w:r>
          </w:p>
        </w:tc>
        <w:tc>
          <w:tcPr>
            <w:tcW w:type="dxa" w:w="3784"/>
          </w:tcPr>
          <w:p>
            <w:pPr>
              <w:spacing w:before="20" w:after="20"/>
            </w:pPr>
            <w:r/>
            <w:r>
              <w:rPr>
                <w:rFonts w:ascii="Verdana" w:hAnsi="Verdana"/>
                <w:b w:val="0"/>
                <w:sz w:val="16"/>
              </w:rPr>
              <w:t>Albedo en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Altura de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0 13 093</w:t>
            </w:r>
          </w:p>
        </w:tc>
        <w:tc>
          <w:tcPr>
            <w:tcW w:type="dxa" w:w="3784"/>
          </w:tcPr>
          <w:p>
            <w:pPr>
              <w:spacing w:before="20" w:after="20"/>
            </w:pPr>
            <w:r/>
            <w:r>
              <w:rPr>
                <w:rFonts w:ascii="Verdana" w:hAnsi="Verdana"/>
                <w:b w:val="0"/>
                <w:sz w:val="16"/>
              </w:rPr>
              <w:t>Espesor óptico de la nube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Tipo de componente atmosférico químico o físico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0 08 044</w:t>
            </w:r>
          </w:p>
        </w:tc>
        <w:tc>
          <w:tcPr>
            <w:tcW w:type="dxa" w:w="3784"/>
          </w:tcPr>
          <w:p>
            <w:pPr>
              <w:spacing w:before="20" w:after="20"/>
            </w:pPr>
            <w:r/>
            <w:r>
              <w:rPr>
                <w:rFonts w:ascii="Verdana" w:hAnsi="Verdana"/>
                <w:b w:val="0"/>
                <w:sz w:val="16"/>
              </w:rPr>
              <w:t>Número de registro del CAS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0 15 021</w:t>
            </w:r>
          </w:p>
        </w:tc>
        <w:tc>
          <w:tcPr>
            <w:tcW w:type="dxa" w:w="3784"/>
          </w:tcPr>
          <w:p>
            <w:pPr>
              <w:spacing w:before="20" w:after="20"/>
            </w:pPr>
            <w:r/>
            <w:r>
              <w:rPr>
                <w:rFonts w:ascii="Verdana" w:hAnsi="Verdana"/>
                <w:b w:val="0"/>
                <w:sz w:val="16"/>
              </w:rPr>
              <w:t>Densidad másica integrada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