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02</w:t>
      </w:r>
    </w:p>
    <w:p>
      <w:r>
        <w:rPr>
          <w:rFonts w:ascii="Verdana" w:hAnsi="Verdana"/>
          <w:b/>
          <w:sz w:val="18"/>
        </w:rPr>
        <w:t>0 02 001  Type de station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Station automatique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Station dotée de personnel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Station mixte: automatique et dotée de personnel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02 002  Type d'instrument pour la mesure du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Instruments homologués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Mesuré initialement en nœuds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Mesuré initialement en km h-1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02 003  Type d'équipement de mesure utilisé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Instruments de mesure de la pression associés à l'équipement de mesure du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Théodolite optique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Radiothéodolite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Système Oméga en ondes myriamétriques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Loran-C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Profileur de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Localisation par 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Système de sondage radio-acoustique (RASS)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Lidar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Instruments de mesure de la pression associés à l'équipement de mesure du vent, mais les instruments de mesure de la pression sont tombés en panne pendant la montée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02 004  Type d'instrument utilisé pour la mesure de l'évaporation ou type de culture pour lequel est indiquée l'évapotranspiration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Bac ouvert américain (non couvert)</w:t>
            </w:r>
          </w:p>
        </w:tc>
        <w:tc>
          <w:tcPr>
            <w:tcW w:type="dxa" w:w="3784"/>
          </w:tcPr>
          <w:p>
            <w:pPr>
              <w:spacing w:before="20" w:after="20"/>
            </w:pPr>
            <w:r/>
            <w:r>
              <w:rPr>
                <w:rFonts w:ascii="Verdana" w:hAnsi="Verdana"/>
                <w:b w:val="0"/>
                <w:sz w:val="16"/>
              </w:rPr>
              <w:t>Évaporation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Bac ouvert américain (couvert d'un treillis)</w:t>
            </w:r>
          </w:p>
        </w:tc>
        <w:tc>
          <w:tcPr>
            <w:tcW w:type="dxa" w:w="3784"/>
          </w:tcPr>
          <w:p>
            <w:pPr>
              <w:spacing w:before="20" w:after="20"/>
            </w:pPr>
            <w:r/>
            <w:r>
              <w:rPr>
                <w:rFonts w:ascii="Verdana" w:hAnsi="Verdana"/>
                <w:b w:val="0"/>
                <w:sz w:val="16"/>
              </w:rPr>
              <w:t>Évaporation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Evaporomètre GGI-3000 (bac enterré)</w:t>
            </w:r>
          </w:p>
        </w:tc>
        <w:tc>
          <w:tcPr>
            <w:tcW w:type="dxa" w:w="3784"/>
          </w:tcPr>
          <w:p>
            <w:pPr>
              <w:spacing w:before="20" w:after="20"/>
            </w:pPr>
            <w:r/>
            <w:r>
              <w:rPr>
                <w:rFonts w:ascii="Verdana" w:hAnsi="Verdana"/>
                <w:b w:val="0"/>
                <w:sz w:val="16"/>
              </w:rPr>
              <w:t>Évaporation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Bassin de 20 m2</w:t>
            </w:r>
          </w:p>
        </w:tc>
        <w:tc>
          <w:tcPr>
            <w:tcW w:type="dxa" w:w="3784"/>
          </w:tcPr>
          <w:p>
            <w:pPr>
              <w:spacing w:before="20" w:after="20"/>
            </w:pPr>
            <w:r/>
            <w:r>
              <w:rPr>
                <w:rFonts w:ascii="Verdana" w:hAnsi="Verdana"/>
                <w:b w:val="0"/>
                <w:sz w:val="16"/>
              </w:rPr>
              <w:t>Évaporation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Autres instruments</w:t>
            </w:r>
          </w:p>
        </w:tc>
        <w:tc>
          <w:tcPr>
            <w:tcW w:type="dxa" w:w="3784"/>
          </w:tcPr>
          <w:p>
            <w:pPr>
              <w:spacing w:before="20" w:after="20"/>
            </w:pPr>
            <w:r/>
            <w:r>
              <w:rPr>
                <w:rFonts w:ascii="Verdana" w:hAnsi="Verdana"/>
                <w:b w:val="0"/>
                <w:sz w:val="16"/>
              </w:rPr>
              <w:t>Évaporation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Riz</w:t>
            </w:r>
          </w:p>
        </w:tc>
        <w:tc>
          <w:tcPr>
            <w:tcW w:type="dxa" w:w="3784"/>
          </w:tcPr>
          <w:p>
            <w:pPr>
              <w:spacing w:before="20" w:after="20"/>
            </w:pPr>
            <w:r/>
            <w:r>
              <w:rPr>
                <w:rFonts w:ascii="Verdana" w:hAnsi="Verdana"/>
                <w:b w:val="0"/>
                <w:sz w:val="16"/>
              </w:rPr>
              <w:t>Évapotranspiration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Blé</w:t>
            </w:r>
          </w:p>
        </w:tc>
        <w:tc>
          <w:tcPr>
            <w:tcW w:type="dxa" w:w="3784"/>
          </w:tcPr>
          <w:p>
            <w:pPr>
              <w:spacing w:before="20" w:after="20"/>
            </w:pPr>
            <w:r/>
            <w:r>
              <w:rPr>
                <w:rFonts w:ascii="Verdana" w:hAnsi="Verdana"/>
                <w:b w:val="0"/>
                <w:sz w:val="16"/>
              </w:rPr>
              <w:t>Évapotranspiration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Maïs</w:t>
            </w:r>
          </w:p>
        </w:tc>
        <w:tc>
          <w:tcPr>
            <w:tcW w:type="dxa" w:w="3784"/>
          </w:tcPr>
          <w:p>
            <w:pPr>
              <w:spacing w:before="20" w:after="20"/>
            </w:pPr>
            <w:r/>
            <w:r>
              <w:rPr>
                <w:rFonts w:ascii="Verdana" w:hAnsi="Verdana"/>
                <w:b w:val="0"/>
                <w:sz w:val="16"/>
              </w:rPr>
              <w:t>Évapotranspiration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Sorgho</w:t>
            </w:r>
          </w:p>
        </w:tc>
        <w:tc>
          <w:tcPr>
            <w:tcW w:type="dxa" w:w="3784"/>
          </w:tcPr>
          <w:p>
            <w:pPr>
              <w:spacing w:before="20" w:after="20"/>
            </w:pPr>
            <w:r/>
            <w:r>
              <w:rPr>
                <w:rFonts w:ascii="Verdana" w:hAnsi="Verdana"/>
                <w:b w:val="0"/>
                <w:sz w:val="16"/>
              </w:rPr>
              <w:t>Évapotranspiration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Autres cultures</w:t>
            </w:r>
          </w:p>
        </w:tc>
        <w:tc>
          <w:tcPr>
            <w:tcW w:type="dxa" w:w="3784"/>
          </w:tcPr>
          <w:p>
            <w:pPr>
              <w:spacing w:before="20" w:after="20"/>
            </w:pPr>
            <w:r/>
            <w:r>
              <w:rPr>
                <w:rFonts w:ascii="Verdana" w:hAnsi="Verdana"/>
                <w:b w:val="0"/>
                <w:sz w:val="16"/>
              </w:rPr>
              <w:t>Évapotranspiration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10-14</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t>Évapotranspiration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02 007  Type de capteur pour les instruments de mesure de la hauteur d'eau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Codeur rotatif et flotteur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Ultrasons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Pression (transducteur unique)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Pression (transducteur multiple)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Pression (puits de limnigraphe)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Pression (système «bulle à bulle»)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Acoustique (tube de 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Acoustique (à l'air libre)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02 008  Type de plate-forme en mer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Plate-forme fixe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Navire de forage constituant une plate-forme mobile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Plate-forme à vérins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Plate-forme semi-submersible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Unité flottante de production, stockage et déchargement (FPSO)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Bateau-feu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02 011  Type de radiosonde (Voir la table de code commune C-2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02 012  Méthode de calcul des données de radiosondage (À établir)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02 013  Correction du rayonnement solaire et infrarouge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Correction solaire CIMO et correction infrarouge CIMO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Correction solaire CIMO et correction infrarouge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Correction solaire CIMO seulement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Correction solaire et infrarouge automatique par système de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Correction solaire automatique par système de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Correction solaire et infrarouge, selon indications données par pays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Correction solaire, selon indications données par pays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Correction du rayonnement solaire et infrarouge, selon les indications du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Correction du rayonnement solaire, selon les indications du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02 014  Technique de poursuite/état du système utilisé (Voir la table de code commune C-7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02 015  Degré d'équipement de la radiosonde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Radiosonde uniquement pour la mesure de la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Radiosonde uniquement pour la mesure de la pression, équipée d'un transpondeur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Radiosonde uniquement pour la mesure de la pression, équipée d'un réflecteur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Radiosonde ne mesurant pas la pression, équipée d'un transpondeur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Radiosonde ne mesurant pas la pression, équipée d'un réflecteur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02 016  Configuration de la radiosonde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Régulateur de traîne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Charge légère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Parachute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Lâcher à partir d'un toit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02 017  Algorithmes de correction pour les mesures d'humidité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correction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Correction du décalage dans le temps fournie par le fabricant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Correction du rayonnement solaire fournie par le fabricant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Correction du rayonnement solaire et du décalage dans le temps fournie par le fabricant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Correction du rayonnement solaire et du décalage dans le temps, selon les indications du GRUAN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02 019  Instruments satellitaires (Voir la table de code commune C-8 dans la Partie C/c.)</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r>
          </w:p>
        </w:tc>
      </w:tr>
    </w:tbl>
    <w:p/>
    <w:p>
      <w:r>
        <w:rPr>
          <w:rFonts w:ascii="Verdana" w:hAnsi="Verdana"/>
          <w:b/>
          <w:sz w:val="18"/>
        </w:rPr>
        <w:t>0 02 020  Classification des satellites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Nimbus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VTPR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Tiros 1 (Tiros, NOAA-6 à NOAA-13)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Tiros 2 (NOAA-14 et suivants)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EOS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GPM-core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DMSP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w:t>
            </w:r>
          </w:p>
        </w:tc>
        <w:tc>
          <w:tcPr>
            <w:tcW w:type="dxa" w:w="5046"/>
          </w:tcPr>
          <w:p>
            <w:pPr>
              <w:spacing w:before="20" w:after="20"/>
            </w:pPr>
            <w:r/>
            <w:r>
              <w:rPr>
                <w:rFonts w:ascii="Verdana" w:hAnsi="Verdana"/>
                <w:b w:val="0"/>
                <w:sz w:val="16"/>
              </w:rPr>
              <w:t>Système polaire EUMETSAT (EPS)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w:t>
            </w:r>
          </w:p>
        </w:tc>
        <w:tc>
          <w:tcPr>
            <w:tcW w:type="dxa" w:w="5046"/>
          </w:tcPr>
          <w:p>
            <w:pPr>
              <w:spacing w:before="20" w:after="20"/>
            </w:pPr>
            <w:r/>
            <w:r>
              <w:rPr>
                <w:rFonts w:ascii="Verdana" w:hAnsi="Verdana"/>
                <w:b w:val="0"/>
                <w:sz w:val="16"/>
              </w:rPr>
              <w:t>ERS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w:t>
            </w:r>
          </w:p>
        </w:tc>
        <w:tc>
          <w:tcPr>
            <w:tcW w:type="dxa" w:w="5046"/>
          </w:tcPr>
          <w:p>
            <w:pPr>
              <w:spacing w:before="20" w:after="20"/>
            </w:pPr>
            <w:r/>
            <w:r>
              <w:rPr>
                <w:rFonts w:ascii="Verdana" w:hAnsi="Verdana"/>
                <w:b w:val="0"/>
                <w:sz w:val="16"/>
              </w:rPr>
              <w:t>Sentinel-3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w:t>
            </w:r>
          </w:p>
        </w:tc>
        <w:tc>
          <w:tcPr>
            <w:tcW w:type="dxa" w:w="5046"/>
          </w:tcPr>
          <w:p>
            <w:pPr>
              <w:spacing w:before="20" w:after="20"/>
            </w:pPr>
            <w:r/>
            <w:r>
              <w:rPr>
                <w:rFonts w:ascii="Verdana" w:hAnsi="Verdana"/>
                <w:b w:val="0"/>
                <w:sz w:val="16"/>
              </w:rPr>
              <w:t>ADEOS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122</w:t>
            </w:r>
          </w:p>
        </w:tc>
        <w:tc>
          <w:tcPr>
            <w:tcW w:type="dxa" w:w="5046"/>
          </w:tcPr>
          <w:p>
            <w:pPr>
              <w:spacing w:before="20" w:after="20"/>
            </w:pPr>
            <w:r/>
            <w:r>
              <w:rPr>
                <w:rFonts w:ascii="Verdana" w:hAnsi="Verdana"/>
                <w:b w:val="0"/>
                <w:sz w:val="16"/>
              </w:rPr>
              <w:t>GCOM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241</w:t>
            </w:r>
          </w:p>
        </w:tc>
        <w:tc>
          <w:tcPr>
            <w:tcW w:type="dxa" w:w="5046"/>
          </w:tcPr>
          <w:p>
            <w:pPr>
              <w:spacing w:before="20" w:after="20"/>
            </w:pPr>
            <w:r/>
            <w:r>
              <w:rPr>
                <w:rFonts w:ascii="Verdana" w:hAnsi="Verdana"/>
                <w:b w:val="0"/>
                <w:sz w:val="16"/>
              </w:rPr>
              <w:t>GOES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261</w:t>
            </w:r>
          </w:p>
        </w:tc>
        <w:tc>
          <w:tcPr>
            <w:tcW w:type="dxa" w:w="5046"/>
          </w:tcPr>
          <w:p>
            <w:pPr>
              <w:spacing w:before="20" w:after="20"/>
            </w:pPr>
            <w:r/>
            <w:r>
              <w:rPr>
                <w:rFonts w:ascii="Verdana" w:hAnsi="Verdana"/>
                <w:b w:val="0"/>
                <w:sz w:val="16"/>
              </w:rPr>
              <w:t>JASON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271</w:t>
            </w:r>
          </w:p>
        </w:tc>
        <w:tc>
          <w:tcPr>
            <w:tcW w:type="dxa" w:w="5046"/>
          </w:tcPr>
          <w:p>
            <w:pPr>
              <w:spacing w:before="20" w:after="20"/>
            </w:pPr>
            <w:r/>
            <w:r>
              <w:rPr>
                <w:rFonts w:ascii="Verdana" w:hAnsi="Verdana"/>
                <w:b w:val="0"/>
                <w:sz w:val="16"/>
              </w:rPr>
              <w:t>GMS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272</w:t>
            </w:r>
          </w:p>
        </w:tc>
        <w:tc>
          <w:tcPr>
            <w:tcW w:type="dxa" w:w="5046"/>
          </w:tcPr>
          <w:p>
            <w:pPr>
              <w:spacing w:before="20" w:after="20"/>
            </w:pPr>
            <w:r/>
            <w:r>
              <w:rPr>
                <w:rFonts w:ascii="Verdana" w:hAnsi="Verdana"/>
                <w:b w:val="0"/>
                <w:sz w:val="16"/>
              </w:rPr>
              <w:t>MTSAT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273</w:t>
            </w:r>
          </w:p>
        </w:tc>
        <w:tc>
          <w:tcPr>
            <w:tcW w:type="dxa" w:w="5046"/>
          </w:tcPr>
          <w:p>
            <w:pPr>
              <w:spacing w:before="20" w:after="20"/>
            </w:pPr>
            <w:r/>
            <w:r>
              <w:rPr>
                <w:rFonts w:ascii="Verdana" w:hAnsi="Verdana"/>
                <w:b w:val="0"/>
                <w:sz w:val="16"/>
              </w:rPr>
              <w:t>Himawari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281</w:t>
            </w:r>
          </w:p>
        </w:tc>
        <w:tc>
          <w:tcPr>
            <w:tcW w:type="dxa" w:w="5046"/>
          </w:tcPr>
          <w:p>
            <w:pPr>
              <w:spacing w:before="20" w:after="20"/>
            </w:pPr>
            <w:r/>
            <w:r>
              <w:rPr>
                <w:rFonts w:ascii="Verdana" w:hAnsi="Verdana"/>
                <w:b w:val="0"/>
                <w:sz w:val="16"/>
              </w:rPr>
              <w:t>COMS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301</w:t>
            </w:r>
          </w:p>
        </w:tc>
        <w:tc>
          <w:tcPr>
            <w:tcW w:type="dxa" w:w="5046"/>
          </w:tcPr>
          <w:p>
            <w:pPr>
              <w:spacing w:before="20" w:after="20"/>
            </w:pPr>
            <w:r/>
            <w:r>
              <w:rPr>
                <w:rFonts w:ascii="Verdana" w:hAnsi="Verdana"/>
                <w:b w:val="0"/>
                <w:sz w:val="16"/>
              </w:rPr>
              <w:t>INSAT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331</w:t>
            </w:r>
          </w:p>
        </w:tc>
        <w:tc>
          <w:tcPr>
            <w:tcW w:type="dxa" w:w="5046"/>
          </w:tcPr>
          <w:p>
            <w:pPr>
              <w:spacing w:before="20" w:after="20"/>
            </w:pPr>
            <w:r/>
            <w:r>
              <w:rPr>
                <w:rFonts w:ascii="Verdana" w:hAnsi="Verdana"/>
                <w:b w:val="0"/>
                <w:sz w:val="16"/>
              </w:rPr>
              <w:t>Programme opérationnel METEOSAT (MOP)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332</w:t>
            </w:r>
          </w:p>
        </w:tc>
        <w:tc>
          <w:tcPr>
            <w:tcW w:type="dxa" w:w="5046"/>
          </w:tcPr>
          <w:p>
            <w:pPr>
              <w:spacing w:before="20" w:after="20"/>
            </w:pPr>
            <w:r/>
            <w:r>
              <w:rPr>
                <w:rFonts w:ascii="Verdana" w:hAnsi="Verdana"/>
                <w:b w:val="0"/>
                <w:sz w:val="16"/>
              </w:rPr>
              <w:t>Programme METEOSAT de transition (MTP)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333</w:t>
            </w:r>
          </w:p>
        </w:tc>
        <w:tc>
          <w:tcPr>
            <w:tcW w:type="dxa" w:w="5046"/>
          </w:tcPr>
          <w:p>
            <w:pPr>
              <w:spacing w:before="20" w:after="20"/>
            </w:pPr>
            <w:r/>
            <w:r>
              <w:rPr>
                <w:rFonts w:ascii="Verdana" w:hAnsi="Verdana"/>
                <w:b w:val="0"/>
                <w:sz w:val="16"/>
              </w:rPr>
              <w:t>Programme de satellites METEOSAT de la seconde génération (MSG)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351</w:t>
            </w:r>
          </w:p>
        </w:tc>
        <w:tc>
          <w:tcPr>
            <w:tcW w:type="dxa" w:w="5046"/>
          </w:tcPr>
          <w:p>
            <w:pPr>
              <w:spacing w:before="20" w:after="20"/>
            </w:pPr>
            <w:r/>
            <w:r>
              <w:rPr>
                <w:rFonts w:ascii="Verdana" w:hAnsi="Verdana"/>
                <w:b w:val="0"/>
                <w:sz w:val="16"/>
              </w:rPr>
              <w:t>GOMS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380</w:t>
            </w:r>
          </w:p>
        </w:tc>
        <w:tc>
          <w:tcPr>
            <w:tcW w:type="dxa" w:w="5046"/>
          </w:tcPr>
          <w:p>
            <w:pPr>
              <w:spacing w:before="20" w:after="20"/>
            </w:pPr>
            <w:r/>
            <w:r>
              <w:rPr>
                <w:rFonts w:ascii="Verdana" w:hAnsi="Verdana"/>
                <w:b w:val="0"/>
                <w:sz w:val="16"/>
              </w:rPr>
              <w:t>FY-1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381</w:t>
            </w:r>
          </w:p>
        </w:tc>
        <w:tc>
          <w:tcPr>
            <w:tcW w:type="dxa" w:w="5046"/>
          </w:tcPr>
          <w:p>
            <w:pPr>
              <w:spacing w:before="20" w:after="20"/>
            </w:pPr>
            <w:r/>
            <w:r>
              <w:rPr>
                <w:rFonts w:ascii="Verdana" w:hAnsi="Verdana"/>
                <w:b w:val="0"/>
                <w:sz w:val="16"/>
              </w:rPr>
              <w:t>FY-2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382</w:t>
            </w:r>
          </w:p>
        </w:tc>
        <w:tc>
          <w:tcPr>
            <w:tcW w:type="dxa" w:w="5046"/>
          </w:tcPr>
          <w:p>
            <w:pPr>
              <w:spacing w:before="20" w:after="20"/>
            </w:pPr>
            <w:r/>
            <w:r>
              <w:rPr>
                <w:rFonts w:ascii="Verdana" w:hAnsi="Verdana"/>
                <w:b w:val="0"/>
                <w:sz w:val="16"/>
              </w:rPr>
              <w:t>FY-3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383</w:t>
            </w:r>
          </w:p>
        </w:tc>
        <w:tc>
          <w:tcPr>
            <w:tcW w:type="dxa" w:w="5046"/>
          </w:tcPr>
          <w:p>
            <w:pPr>
              <w:spacing w:before="20" w:after="20"/>
            </w:pPr>
            <w:r/>
            <w:r>
              <w:rPr>
                <w:rFonts w:ascii="Verdana" w:hAnsi="Verdana"/>
                <w:b w:val="0"/>
                <w:sz w:val="16"/>
              </w:rPr>
              <w:t>FY-4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384-400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401</w:t>
            </w:r>
          </w:p>
        </w:tc>
        <w:tc>
          <w:tcPr>
            <w:tcW w:type="dxa" w:w="5046"/>
          </w:tcPr>
          <w:p>
            <w:pPr>
              <w:spacing w:before="20" w:after="20"/>
            </w:pPr>
            <w:r/>
            <w:r>
              <w:rPr>
                <w:rFonts w:ascii="Verdana" w:hAnsi="Verdana"/>
                <w:b w:val="0"/>
                <w:sz w:val="16"/>
              </w:rPr>
              <w:t>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402</w:t>
            </w:r>
          </w:p>
        </w:tc>
        <w:tc>
          <w:tcPr>
            <w:tcW w:type="dxa" w:w="5046"/>
          </w:tcPr>
          <w:p>
            <w:pPr>
              <w:spacing w:before="20" w:after="20"/>
            </w:pPr>
            <w:r/>
            <w:r>
              <w:rPr>
                <w:rFonts w:ascii="Verdana" w:hAnsi="Verdana"/>
                <w:b w:val="0"/>
                <w:sz w:val="16"/>
              </w:rPr>
              <w:t>GLONASS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403</w:t>
            </w:r>
          </w:p>
        </w:tc>
        <w:tc>
          <w:tcPr>
            <w:tcW w:type="dxa" w:w="5046"/>
          </w:tcPr>
          <w:p>
            <w:pPr>
              <w:spacing w:before="20" w:after="20"/>
            </w:pPr>
            <w:r/>
            <w:r>
              <w:rPr>
                <w:rFonts w:ascii="Verdana" w:hAnsi="Verdana"/>
                <w:b w:val="0"/>
                <w:sz w:val="16"/>
              </w:rPr>
              <w:t>GALILEO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404</w:t>
            </w:r>
          </w:p>
        </w:tc>
        <w:tc>
          <w:tcPr>
            <w:tcW w:type="dxa" w:w="5046"/>
          </w:tcPr>
          <w:p>
            <w:pPr>
              <w:spacing w:before="20" w:after="20"/>
            </w:pPr>
            <w:r/>
            <w:r>
              <w:rPr>
                <w:rFonts w:ascii="Verdana" w:hAnsi="Verdana"/>
                <w:b w:val="0"/>
                <w:sz w:val="16"/>
              </w:rPr>
              <w:t>BDS (Système de navigation par satellite Beidou)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405-510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02 021  Données instrumentales satellitaires utilisées dans le traitement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Sondeur en infrarouge à grand pouvoir séparateur (HIRS)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Sondeur à hyperfréquence (MSU)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Sondeur stratosphérique (SSU)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AMI mode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AMI mode 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AMI mode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Altimètre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ATSR (radiomètre à balayage dans le sens de la trace au sol)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02 022  Technique utilisée pour le traitement des données satellitaires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Technique de traitement non définie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Régression statistique automatique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Mesure ciel clair</w:t>
            </w:r>
          </w:p>
        </w:tc>
        <w:tc>
          <w:tcPr>
            <w:tcW w:type="dxa" w:w="5046"/>
          </w:tcPr>
          <w:p>
            <w:pPr>
              <w:spacing w:before="20" w:after="20"/>
            </w:pPr>
            <w:r/>
            <w:r>
              <w:rPr>
                <w:rFonts w:ascii="Verdana" w:hAnsi="Verdana"/>
                <w:b w:val="0"/>
                <w:sz w:val="16"/>
              </w:rPr>
              <w:t>Note 28: Dans l’entrée 3 10 067, les valeurs de la pression qui suivent immédiatement des occurrences de composantes du vent devraient être considérées comme se rapportant à ces composantes.</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Mesure ciel partiellement couvert</w:t>
            </w:r>
          </w:p>
        </w:tc>
        <w:tc>
          <w:tcPr>
            <w:tcW w:type="dxa" w:w="5046"/>
          </w:tcPr>
          <w:p>
            <w:pPr>
              <w:spacing w:before="20" w:after="20"/>
            </w:pPr>
            <w:r/>
            <w:r>
              <w:rPr>
                <w:rFonts w:ascii="Verdana" w:hAnsi="Verdana"/>
                <w:b w:val="0"/>
                <w:sz w:val="16"/>
              </w:rPr>
              <w:t>Note 62: Les descripteurs 3 01 041 à 3 01 049 et 3 01 062, 3 01 071, et 3 01 072 ne devraient pas être utilisés pour la transmission dans le CREX.</w:t>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Mesure ciel couvert</w:t>
            </w:r>
          </w:p>
        </w:tc>
        <w:tc>
          <w:tcPr>
            <w:tcW w:type="dxa" w:w="5046"/>
          </w:tcPr>
          <w:p>
            <w:pPr>
              <w:spacing w:before="20" w:after="20"/>
            </w:pPr>
            <w:r/>
            <w:r>
              <w:rPr>
                <w:rFonts w:ascii="Verdana" w:hAnsi="Verdana"/>
                <w:b w:val="0"/>
                <w:sz w:val="16"/>
              </w:rPr>
              <w:t>Note 30: Dans cette séquence pour la représentation des données de radiosondage à la descente, l’indication de niveaux standard par le biais de la caractéristique étendue correspondant à des données de sondage vertical (0 08 042) n’est pas obligatoire.</w:t>
            </w:r>
          </w:p>
        </w:tc>
      </w:tr>
      <w:tr>
        <w:trPr>
          <w:cantSplit/>
        </w:trPr>
        <w:tc>
          <w:tcPr>
            <w:tcW w:type="dxa" w:w="5046"/>
          </w:tcPr>
          <w:p>
            <w:pPr>
              <w:spacing w:before="20" w:after="20"/>
            </w:pPr>
            <w:r/>
            <w:r>
              <w:rPr>
                <w:rFonts w:ascii="Verdana" w:hAnsi="Verdana"/>
                <w:b w:val="0"/>
                <w:sz w:val="16"/>
              </w:rPr>
              <w:t>6-7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02 023  Méthode de calcul du vent à partir de données satellitaires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Vent dérivé du déplacement des nuages observé dans le canal infrarouge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Vent dérivé du déplacement des nuages observé dans le canal visible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Vent dérivé des déplacements des nuages observés dans le canal de la vapeur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Vent dérivé des mouvements observés dans plusieurs canaux spectraux combinés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Vent dérivé des mouvements observés dans le canal de la vapeur d'eau en ciel clair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Vent dérivé des mouvements observés dans le canal de l'ozone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Vent dérivé du déplacement observé dans le canal de la vapeur d'eau (ciel couvert ou ciel clair non précisé)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Racine carrée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02 024  Méthode de calcul de l'humidité moyenne intégrée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Table indiquant toute la variation de l'humidité dans la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Technique de régression appliquée à 2 valeurs hygrométriques de la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02 025  Canal (canaux) de satellite utilisé(s) pour les calculs d'indicateurs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Groupe 1 - Eau précipitable pour les couches: surface à 700 hPa, 700 à 500 hPa, et 500 à 300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Groupe 2 - Température et pression au niveau de la tropopause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Groupe 3 - Ozone total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HIRS (1, 2, 3, 8, 9, 16,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HIRS (1, 2, 3, 9,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Groupe 4 - Température moyenne pour les couches: surface à 850 hPa, 850 à 700 hPa, 700 à 500 hPa, 500 à 400 hPa, 400 à 300 hPa, 300 à 200 hPa, et 200 à 100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t>Note 47: HIRS* signifie: canaux HIRS 1 (669 cm-1) 2 (679 cm-1) 3 (690 cm-1) 4 (2358 cm-1)</w:t>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SKINTK (océan uniquement)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19-20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r>
          </w:p>
        </w:tc>
        <w:tc>
          <w:tcPr>
            <w:tcW w:type="dxa" w:w="5046"/>
          </w:tcPr>
          <w:p>
            <w:pPr>
              <w:spacing w:before="20" w:after="20"/>
            </w:pPr>
            <w:r/>
            <w:r>
              <w:rPr>
                <w:rFonts w:ascii="Verdana" w:hAnsi="Verdana"/>
                <w:b w:val="0"/>
                <w:sz w:val="16"/>
              </w:rPr>
              <w:t>Groupe 5 - Combinaison de canaux utilisés pour obtenir des températures moyennes pour les couches: 100 à 70 hPa, 70 à 50 hPa, 50 à 30 hPa, 30 à 10 hPa, 10 à 5 hPa, 5 à 2 hPa, 2 à 1 hPa, 1 à 0,4 hPa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t>Note 47: HIRS* signifie: canaux HIRS 1 (669 cm-1) 2 (679 cm-1) 3 (690 cm-1) 4 (2358 cm-1)</w:t>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MSU (3,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02 030  Méthode de mesure du courant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Profileur acoustique de courant Doppler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GEK (électrocinétographe géomagnétique)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Direction et dérive du navire déterminées par des relevés effectués à intervalles de 3 à 6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Direction et dérive du navire déterminées par des relevés effectués à intervalles de plus de 6 heures, mais de moins de 12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Dérive de la bouée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Profileur acoustique de courant Doppler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02 031  Durée et heure de la mesure du courant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Mesure instantanée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Valeur moyenne mesurée sur 3 min ou moins</w:t>
            </w:r>
          </w:p>
        </w:tc>
        <w:tc>
          <w:tcPr>
            <w:tcW w:type="dxa" w:w="3784"/>
          </w:tcPr>
          <w:p>
            <w:pPr>
              <w:spacing w:before="20" w:after="20"/>
            </w:pPr>
            <w:r/>
            <w:r>
              <w:rPr>
                <w:rFonts w:ascii="Verdana" w:hAnsi="Verdana"/>
                <w:b w:val="0"/>
                <w:sz w:val="16"/>
              </w:rPr>
              <w:t>La mesure a été faite entre H - 1 et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Valeur moyenne mesurée sur plus de 3 min, mais pas au-delà de 6 min</w:t>
            </w:r>
          </w:p>
        </w:tc>
        <w:tc>
          <w:tcPr>
            <w:tcW w:type="dxa" w:w="3784"/>
          </w:tcPr>
          <w:p>
            <w:pPr>
              <w:spacing w:before="20" w:after="20"/>
            </w:pPr>
            <w:r/>
            <w:r>
              <w:rPr>
                <w:rFonts w:ascii="Verdana" w:hAnsi="Verdana"/>
                <w:b w:val="0"/>
                <w:sz w:val="16"/>
              </w:rPr>
              <w:t>La mesure a été faite entre H - 1 et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Valeur moyenne mesurée sur plus de 6 min, mais pas au-delà de 12 min</w:t>
            </w:r>
          </w:p>
        </w:tc>
        <w:tc>
          <w:tcPr>
            <w:tcW w:type="dxa" w:w="3784"/>
          </w:tcPr>
          <w:p>
            <w:pPr>
              <w:spacing w:before="20" w:after="20"/>
            </w:pPr>
            <w:r/>
            <w:r>
              <w:rPr>
                <w:rFonts w:ascii="Verdana" w:hAnsi="Verdana"/>
                <w:b w:val="0"/>
                <w:sz w:val="16"/>
              </w:rPr>
              <w:t>La mesure a été faite entre H - 1 et H</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Mesure instantanée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Valeur moyenne mesurée sur 3 min ou moins</w:t>
            </w:r>
          </w:p>
        </w:tc>
        <w:tc>
          <w:tcPr>
            <w:tcW w:type="dxa" w:w="3784"/>
          </w:tcPr>
          <w:p>
            <w:pPr>
              <w:spacing w:before="20" w:after="20"/>
            </w:pPr>
            <w:r/>
            <w:r>
              <w:rPr>
                <w:rFonts w:ascii="Verdana" w:hAnsi="Verdana"/>
                <w:b w:val="0"/>
                <w:sz w:val="16"/>
              </w:rPr>
              <w:t>La mesure a été faite entre H - 2 et H - 1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Valeur moyenne mesurée sur plus de 3 min, mais pas au-delà de 6 min</w:t>
            </w:r>
          </w:p>
        </w:tc>
        <w:tc>
          <w:tcPr>
            <w:tcW w:type="dxa" w:w="3784"/>
          </w:tcPr>
          <w:p>
            <w:pPr>
              <w:spacing w:before="20" w:after="20"/>
            </w:pPr>
            <w:r/>
            <w:r>
              <w:rPr>
                <w:rFonts w:ascii="Verdana" w:hAnsi="Verdana"/>
                <w:b w:val="0"/>
                <w:sz w:val="16"/>
              </w:rPr>
              <w:t>La mesure a été faite entre H - 2 et H - 1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Valeur moyenne mesurée sur plus de 6 min, mais pas au-delà de 12 min</w:t>
            </w:r>
          </w:p>
        </w:tc>
        <w:tc>
          <w:tcPr>
            <w:tcW w:type="dxa" w:w="3784"/>
          </w:tcPr>
          <w:p>
            <w:pPr>
              <w:spacing w:before="20" w:after="20"/>
            </w:pPr>
            <w:r/>
            <w:r>
              <w:rPr>
                <w:rFonts w:ascii="Verdana" w:hAnsi="Verdana"/>
                <w:b w:val="0"/>
                <w:sz w:val="16"/>
              </w:rPr>
              <w:t>La mesure a été faite entre H - 2 et H - 1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La méthode vectorielle ou la méthode Doppler d'établissement du profil du courant ne sont pas utilisées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1 heure ou moins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Plus de 1 heure, mais pas au-delà de 2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Plus de 2 heures, mais pas au-delà de 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Plus de 4 heures, mais pas au-delà de 8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Plus de 8 heures, mais pas au-delà de 12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Plus de 12 heures, mais pas au-delà de 18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Plus de 18 heures, mais pas au-delà de 24 heures</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La méthode de la dérive n'est pas utilisée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20-30</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31</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02 032  Indicateur de numérisation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Valeurs correspondant à des profondeurs sélectionnées (points de données fixés par l'instrument ou choisis par toute autre méthode)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Valeurs correspondant à des profondeurs sélectionnées (points de données choisis sur les traces à des profondeurs significatives)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02 033  Méthode de mesure de la salinité en fonction de la profondeur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Pas de mesure de la salinité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Salinomètre in situ, exactitude meilleure que 0,02 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Salinomètre in situ, exactitude inférieure à 0,02 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Analyse d'échantillons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02 034  Type de lest (stabilisateur)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Lest non précisé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Cylindre troué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TRISTAR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Type fenêtre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Parachute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Ancre flottante non lagrangienne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02 036  Type de bouée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Bouée dérivante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Bouée ancrée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Flotteur immergé (en mouvement)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02 037  Méthode d'observation des marées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Lecture manuelle sur une échelle verticale de marée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Lecture manuelle dans la station sur un seul enregistreur automatique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Lecture manuelle dans la station sur plusieurs enregistreurs automatiques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Lecture automatique dans la station sur un seul enregistreur automatique sans contrôle de la référence de niveau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Lecture automatique dans la station sur un seul enregistreur automatique avec contrôle de la référence de niveau, ou sur plusieurs enregistreurs automatiques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02 038  Méthode de mesure de la température et/ou de la salinité de l'eau</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Prise d'eau du navire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Capteur au contact avec la coque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Thermomètre à renversement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Capteur STP/CTP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BT mécanique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BT non récupérable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BT numérique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Chaîne de thermistances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Balayeur à infrarouge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Balayeur en hyperfréquences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Radiomètre infrarouge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Thermosalinographe en continu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Corps remorqué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02 039  Méthode de mesure de la température du thermomètre mouillé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Valeur mesurée de la température du thermomètre mouillé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Température du thermomètre mouillé mesurée sur thermomètre à réservoir recouvert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calculée de la température du thermomètre mouillé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Température du thermomètre mouillé calculée à partir d'un thermomètre à réservoir recouvert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02 040  Méthode d'élimination des effets de la vitesse et du mouvement de la plate-forme dans les mesures de courant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0</w:t>
            </w:r>
          </w:p>
        </w:tc>
        <w:tc>
          <w:tcPr>
            <w:tcW w:type="dxa" w:w="3784"/>
          </w:tcPr>
          <w:p>
            <w:pPr>
              <w:spacing w:before="20" w:after="20"/>
            </w:pPr>
            <w:r/>
            <w:r>
              <w:rPr>
                <w:rFonts w:ascii="Verdana" w:hAnsi="Verdana"/>
                <w:b w:val="0"/>
                <w:sz w:val="16"/>
              </w:rPr>
              <w:t>Mouvement du navire éliminé par l'établissement de la moyenne</w:t>
            </w:r>
          </w:p>
        </w:tc>
        <w:tc>
          <w:tcPr>
            <w:tcW w:type="dxa" w:w="3784"/>
          </w:tcPr>
          <w:p>
            <w:pPr>
              <w:spacing w:before="20" w:after="20"/>
            </w:pPr>
            <w:r/>
            <w:r>
              <w:rPr>
                <w:rFonts w:ascii="Verdana" w:hAnsi="Verdana"/>
                <w:b w:val="0"/>
                <w:sz w:val="16"/>
              </w:rPr>
              <w:t>Vitesse du navire éliminée par un système de localisation du fond de l'océan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Mouvement du navire éliminé par compensation</w:t>
            </w:r>
          </w:p>
        </w:tc>
        <w:tc>
          <w:tcPr>
            <w:tcW w:type="dxa" w:w="3784"/>
          </w:tcPr>
          <w:p>
            <w:pPr>
              <w:spacing w:before="20" w:after="20"/>
            </w:pPr>
            <w:r/>
            <w:r>
              <w:rPr>
                <w:rFonts w:ascii="Verdana" w:hAnsi="Verdana"/>
                <w:b w:val="0"/>
                <w:sz w:val="16"/>
              </w:rPr>
              <w:t>Vitesse du navire éliminée par un système de localisation du fond de l'océan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Mouvement du navire non éliminé</w:t>
            </w:r>
          </w:p>
        </w:tc>
        <w:tc>
          <w:tcPr>
            <w:tcW w:type="dxa" w:w="3784"/>
          </w:tcPr>
          <w:p>
            <w:pPr>
              <w:spacing w:before="20" w:after="20"/>
            </w:pPr>
            <w:r/>
            <w:r>
              <w:rPr>
                <w:rFonts w:ascii="Verdana" w:hAnsi="Verdana"/>
                <w:b w:val="0"/>
                <w:sz w:val="16"/>
              </w:rPr>
              <w:t>Vitesse du navire éliminée par un système de localisation du fond de l'océan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Mouvement du navire éliminé par l'établissement de la moyenne</w:t>
            </w:r>
          </w:p>
        </w:tc>
        <w:tc>
          <w:tcPr>
            <w:tcW w:type="dxa" w:w="3784"/>
          </w:tcPr>
          <w:p>
            <w:pPr>
              <w:spacing w:before="20" w:after="20"/>
            </w:pPr>
            <w:r/>
            <w:r>
              <w:rPr>
                <w:rFonts w:ascii="Verdana" w:hAnsi="Verdana"/>
                <w:b w:val="0"/>
                <w:sz w:val="16"/>
              </w:rPr>
              <w:t>Vitesse du navire éliminée par d'autres systèmes de navigation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Mouvement du navire éliminé par compensation</w:t>
            </w:r>
          </w:p>
        </w:tc>
        <w:tc>
          <w:tcPr>
            <w:tcW w:type="dxa" w:w="3784"/>
          </w:tcPr>
          <w:p>
            <w:pPr>
              <w:spacing w:before="20" w:after="20"/>
            </w:pPr>
            <w:r/>
            <w:r>
              <w:rPr>
                <w:rFonts w:ascii="Verdana" w:hAnsi="Verdana"/>
                <w:b w:val="0"/>
                <w:sz w:val="16"/>
              </w:rPr>
              <w:t>Vitesse du navire éliminée par d'autres systèmes de navigation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Mouvement du navire non éliminé</w:t>
            </w:r>
          </w:p>
        </w:tc>
        <w:tc>
          <w:tcPr>
            <w:tcW w:type="dxa" w:w="3784"/>
          </w:tcPr>
          <w:p>
            <w:pPr>
              <w:spacing w:before="20" w:after="20"/>
            </w:pPr>
            <w:r/>
            <w:r>
              <w:rPr>
                <w:rFonts w:ascii="Verdana" w:hAnsi="Verdana"/>
                <w:b w:val="0"/>
                <w:sz w:val="16"/>
              </w:rPr>
              <w:t>Vitesse du navire éliminée par d'autres systèmes de navigation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Méthode Doppler d'établissement du profil du courant non utilisée</w:t>
            </w:r>
          </w:p>
        </w:tc>
        <w:tc>
          <w:tcPr>
            <w:tcW w:type="dxa" w:w="3784"/>
          </w:tcPr>
          <w:p>
            <w:pPr>
              <w:spacing w:before="20" w:after="20"/>
            </w:pPr>
            <w:r/>
            <w:r>
              <w:rPr>
                <w:rFonts w:ascii="Verdana" w:hAnsi="Verdana"/>
                <w:b w:val="0"/>
                <w:sz w:val="16"/>
              </w:rPr>
              <w:t>Vitesse du navire éliminée par d'autres systèmes de navigation</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7-14</w:t>
            </w:r>
          </w:p>
        </w:tc>
        <w:tc>
          <w:tcPr>
            <w:tcW w:type="dxa" w:w="3784"/>
          </w:tcPr>
          <w:p>
            <w:pPr>
              <w:spacing w:before="20" w:after="20"/>
            </w:pPr>
            <w:r/>
            <w:r>
              <w:rPr>
                <w:rFonts w:ascii="Verdana" w:hAnsi="Verdana"/>
                <w:b w:val="0"/>
                <w:sz w:val="16"/>
              </w:rPr>
              <w:t>En réserve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02 041  Méthode d'estimation utilisée pour les comptes rendus relatifs aux caractéristiques synoptiques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Informations fondées sur l'analyse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Informations fondées sur l'analyse informatique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Informations fondées sur l'assimilation des données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Informations fondées sur l'analyse informatique ou l'assimilation des données, modifiées manuellement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Informations fondées sur la prévision numérique du temps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11-62</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02 042  Indicateur de l'unité de vitesse du courant marin de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Valeur transmise à l'origine en m/s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Valeur transmise à l'origine en nœuds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Aucune donnée disponible sur le courant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02 044  Indicateur destiné à préciser la méthode de calcul des données spectrales concernant les vagues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 pour utilisation future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Longuet-Higgins (1964)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Longuet-Higgins (méthode F3)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Méthode de probabilité maximale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Méthode d'entropie maximale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02 045  Indicateur destiné à préciser le type de plate-forme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Station maritime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Bouée d'acquisition automatique de données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Aéronef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Satellite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02 046  Instruments de mesure des vagues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 pour utilisation future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Capteur de houle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Capteur de pente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02 047  Type du tsunamimètre installé à grande profondeur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DART II (PMEL)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DART ETD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Bouée de détection de tsunamis SAIC (STB)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GFZ-Potsdam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INCOIS (Inde)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InaBuoy (Indonésie)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Envirtech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8-99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100-126</w:t>
            </w:r>
          </w:p>
        </w:tc>
        <w:tc>
          <w:tcPr>
            <w:tcW w:type="dxa" w:w="5046"/>
          </w:tcPr>
          <w:p>
            <w:pPr>
              <w:spacing w:before="20" w:after="20"/>
            </w:pPr>
            <w:r/>
            <w:r>
              <w:rPr>
                <w:rFonts w:ascii="Verdana" w:hAnsi="Verdana"/>
                <w:b w:val="0"/>
                <w:sz w:val="16"/>
              </w:rPr>
              <w:t>Inutilisé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02 048  Indicateur de détecteur de satellite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AMSU-A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AMSU-B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SSMI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NSCAT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SEAWINDS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Altimètre de POSEIDON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Radiomètre en hyperfréquences de JASON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MHS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ASCAT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02 049  Technique utilisée pour le traitement des données de satellite géostationnaire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Technique de traitement non définie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Extraction physique simultanée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Sondage par atmosphère claire</w:t>
            </w:r>
          </w:p>
        </w:tc>
        <w:tc>
          <w:tcPr>
            <w:tcW w:type="dxa" w:w="5046"/>
          </w:tcPr>
          <w:p>
            <w:pPr>
              <w:spacing w:before="20" w:after="20"/>
            </w:pPr>
            <w:r/>
            <w:r>
              <w:rPr>
                <w:rFonts w:ascii="Verdana" w:hAnsi="Verdana"/>
                <w:b w:val="0"/>
                <w:sz w:val="16"/>
              </w:rPr>
              <w:t>Note 29: L’éclaircissage fait ici référence à une méthode pouvant être employée pour sélectionner un sous-ensemble de niveaux à partir d’un modèle qui peut comporter un grand nombre de niveaux verticaux en aval. En ne sélectionnant qu’un sous-ensemble, on réduit l’extension du pseudo-sondage, au risque toutefois d’entraîner une perte d’information et un supplément de traitement.</w:t>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Sondage par atmosphère nuageuse</w:t>
            </w:r>
          </w:p>
        </w:tc>
        <w:tc>
          <w:tcPr>
            <w:tcW w:type="dxa" w:w="5046"/>
          </w:tcPr>
          <w:p>
            <w:pPr>
              <w:spacing w:before="20" w:after="20"/>
            </w:pPr>
            <w:r/>
            <w:r>
              <w:rPr>
                <w:rFonts w:ascii="Verdana" w:hAnsi="Verdana"/>
                <w:b w:val="0"/>
                <w:sz w:val="16"/>
              </w:rPr>
              <w:t>Note 31: Angle de l’erreur définie par 0 20 113 et 0 20 114. Cartésien avec bit de signe.</w:t>
            </w:r>
          </w:p>
        </w:tc>
      </w:tr>
      <w:tr>
        <w:trPr>
          <w:cantSplit/>
        </w:trPr>
        <w:tc>
          <w:tcPr>
            <w:tcW w:type="dxa" w:w="5046"/>
          </w:tcPr>
          <w:p>
            <w:pPr>
              <w:spacing w:before="20" w:after="20"/>
            </w:pPr>
            <w:r/>
            <w:r>
              <w:rPr>
                <w:rFonts w:ascii="Verdana" w:hAnsi="Verdana"/>
                <w:b w:val="0"/>
                <w:sz w:val="16"/>
              </w:rPr>
              <w:t>5-7</w:t>
            </w:r>
          </w:p>
        </w:tc>
        <w:tc>
          <w:tcPr>
            <w:tcW w:type="dxa" w:w="5046"/>
          </w:tcPr>
          <w:p>
            <w:pPr>
              <w:spacing w:before="20" w:after="20"/>
            </w:pPr>
            <w:r/>
            <w:r>
              <w:rPr>
                <w:rFonts w:ascii="Verdana" w:hAnsi="Verdana"/>
                <w:b w:val="0"/>
                <w:sz w:val="16"/>
              </w:rPr>
              <w:t>En réserve pour utilisation future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02 050  Canaux utilisés par le sondeur du satellite géostationnaire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14,71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14,37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14,06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13,64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13,37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6</w:t>
            </w:r>
          </w:p>
        </w:tc>
        <w:tc>
          <w:tcPr>
            <w:tcW w:type="dxa" w:w="3784"/>
          </w:tcPr>
          <w:p>
            <w:pPr>
              <w:spacing w:before="20" w:after="20"/>
            </w:pPr>
            <w:r/>
            <w:r>
              <w:rPr>
                <w:rFonts w:ascii="Verdana" w:hAnsi="Verdana"/>
                <w:b w:val="0"/>
                <w:sz w:val="16"/>
              </w:rPr>
              <w:t>12,66</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7</w:t>
            </w:r>
          </w:p>
        </w:tc>
        <w:tc>
          <w:tcPr>
            <w:tcW w:type="dxa" w:w="3784"/>
          </w:tcPr>
          <w:p>
            <w:pPr>
              <w:spacing w:before="20" w:after="20"/>
            </w:pPr>
            <w:r/>
            <w:r>
              <w:rPr>
                <w:rFonts w:ascii="Verdana" w:hAnsi="Verdana"/>
                <w:b w:val="0"/>
                <w:sz w:val="16"/>
              </w:rPr>
              <w:t>12,02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8</w:t>
            </w:r>
          </w:p>
        </w:tc>
        <w:tc>
          <w:tcPr>
            <w:tcW w:type="dxa" w:w="3784"/>
          </w:tcPr>
          <w:p>
            <w:pPr>
              <w:spacing w:before="20" w:after="20"/>
            </w:pPr>
            <w:r/>
            <w:r>
              <w:rPr>
                <w:rFonts w:ascii="Verdana" w:hAnsi="Verdana"/>
                <w:b w:val="0"/>
                <w:sz w:val="16"/>
              </w:rPr>
              <w:t>11,03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9</w:t>
            </w:r>
          </w:p>
        </w:tc>
        <w:tc>
          <w:tcPr>
            <w:tcW w:type="dxa" w:w="3784"/>
          </w:tcPr>
          <w:p>
            <w:pPr>
              <w:spacing w:before="20" w:after="20"/>
            </w:pPr>
            <w:r/>
            <w:r>
              <w:rPr>
                <w:rFonts w:ascii="Verdana" w:hAnsi="Verdana"/>
                <w:b w:val="0"/>
                <w:sz w:val="16"/>
              </w:rPr>
              <w:t>9,71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10</w:t>
            </w:r>
          </w:p>
        </w:tc>
        <w:tc>
          <w:tcPr>
            <w:tcW w:type="dxa" w:w="3784"/>
          </w:tcPr>
          <w:p>
            <w:pPr>
              <w:spacing w:before="20" w:after="20"/>
            </w:pPr>
            <w:r/>
            <w:r>
              <w:rPr>
                <w:rFonts w:ascii="Verdana" w:hAnsi="Verdana"/>
                <w:b w:val="0"/>
                <w:sz w:val="16"/>
              </w:rPr>
              <w:t>7,43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11</w:t>
            </w:r>
          </w:p>
        </w:tc>
        <w:tc>
          <w:tcPr>
            <w:tcW w:type="dxa" w:w="3784"/>
          </w:tcPr>
          <w:p>
            <w:pPr>
              <w:spacing w:before="20" w:after="20"/>
            </w:pPr>
            <w:r/>
            <w:r>
              <w:rPr>
                <w:rFonts w:ascii="Verdana" w:hAnsi="Verdana"/>
                <w:b w:val="0"/>
                <w:sz w:val="16"/>
              </w:rPr>
              <w:t>7,02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12</w:t>
            </w:r>
          </w:p>
        </w:tc>
        <w:tc>
          <w:tcPr>
            <w:tcW w:type="dxa" w:w="3784"/>
          </w:tcPr>
          <w:p>
            <w:pPr>
              <w:spacing w:before="20" w:after="20"/>
            </w:pPr>
            <w:r/>
            <w:r>
              <w:rPr>
                <w:rFonts w:ascii="Verdana" w:hAnsi="Verdana"/>
                <w:b w:val="0"/>
                <w:sz w:val="16"/>
              </w:rPr>
              <w:t>6,51</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13</w:t>
            </w:r>
          </w:p>
        </w:tc>
        <w:tc>
          <w:tcPr>
            <w:tcW w:type="dxa" w:w="3784"/>
          </w:tcPr>
          <w:p>
            <w:pPr>
              <w:spacing w:before="20" w:after="20"/>
            </w:pPr>
            <w:r/>
            <w:r>
              <w:rPr>
                <w:rFonts w:ascii="Verdana" w:hAnsi="Verdana"/>
                <w:b w:val="0"/>
                <w:sz w:val="16"/>
              </w:rPr>
              <w:t>4,57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14</w:t>
            </w:r>
          </w:p>
        </w:tc>
        <w:tc>
          <w:tcPr>
            <w:tcW w:type="dxa" w:w="3784"/>
          </w:tcPr>
          <w:p>
            <w:pPr>
              <w:spacing w:before="20" w:after="20"/>
            </w:pPr>
            <w:r/>
            <w:r>
              <w:rPr>
                <w:rFonts w:ascii="Verdana" w:hAnsi="Verdana"/>
                <w:b w:val="0"/>
                <w:sz w:val="16"/>
              </w:rPr>
              <w:t>4,52</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15</w:t>
            </w:r>
          </w:p>
        </w:tc>
        <w:tc>
          <w:tcPr>
            <w:tcW w:type="dxa" w:w="3784"/>
          </w:tcPr>
          <w:p>
            <w:pPr>
              <w:spacing w:before="20" w:after="20"/>
            </w:pPr>
            <w:r/>
            <w:r>
              <w:rPr>
                <w:rFonts w:ascii="Verdana" w:hAnsi="Verdana"/>
                <w:b w:val="0"/>
                <w:sz w:val="16"/>
              </w:rPr>
              <w:t>4,45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16</w:t>
            </w:r>
          </w:p>
        </w:tc>
        <w:tc>
          <w:tcPr>
            <w:tcW w:type="dxa" w:w="3784"/>
          </w:tcPr>
          <w:p>
            <w:pPr>
              <w:spacing w:before="20" w:after="20"/>
            </w:pPr>
            <w:r/>
            <w:r>
              <w:rPr>
                <w:rFonts w:ascii="Verdana" w:hAnsi="Verdana"/>
                <w:b w:val="0"/>
                <w:sz w:val="16"/>
              </w:rPr>
              <w:t>4,13</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17</w:t>
            </w:r>
          </w:p>
        </w:tc>
        <w:tc>
          <w:tcPr>
            <w:tcW w:type="dxa" w:w="3784"/>
          </w:tcPr>
          <w:p>
            <w:pPr>
              <w:spacing w:before="20" w:after="20"/>
            </w:pPr>
            <w:r/>
            <w:r>
              <w:rPr>
                <w:rFonts w:ascii="Verdana" w:hAnsi="Verdana"/>
                <w:b w:val="0"/>
                <w:sz w:val="16"/>
              </w:rPr>
              <w:t>3,98</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18</w:t>
            </w:r>
          </w:p>
        </w:tc>
        <w:tc>
          <w:tcPr>
            <w:tcW w:type="dxa" w:w="3784"/>
          </w:tcPr>
          <w:p>
            <w:pPr>
              <w:spacing w:before="20" w:after="20"/>
            </w:pPr>
            <w:r/>
            <w:r>
              <w:rPr>
                <w:rFonts w:ascii="Verdana" w:hAnsi="Verdana"/>
                <w:b w:val="0"/>
                <w:sz w:val="16"/>
              </w:rPr>
              <w:t>3,74</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19</w:t>
            </w:r>
          </w:p>
        </w:tc>
        <w:tc>
          <w:tcPr>
            <w:tcW w:type="dxa" w:w="3784"/>
          </w:tcPr>
          <w:p>
            <w:pPr>
              <w:spacing w:before="20" w:after="20"/>
            </w:pPr>
            <w:r/>
            <w:r>
              <w:rPr>
                <w:rFonts w:ascii="Verdana" w:hAnsi="Verdana"/>
                <w:b w:val="0"/>
                <w:sz w:val="16"/>
              </w:rPr>
              <w:t>0,969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20 bits mis à 1</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02 051  Indicateur servant à préciser la méthode d'observation des températures extrêmes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Thermomètres à maximum et à minimum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Instruments automatiques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Thermographe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02 052  Canaux utilisés par l'imageur du satellite géostationnaire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3784"/>
        <w:gridCol w:w="3784"/>
        <w:gridCol w:w="3784"/>
        <w:gridCol w:w="3784"/>
      </w:tblGrid>
      <w:tr>
        <w:tc>
          <w:tcPr>
            <w:tcW w:type="dxa" w:w="1134"/>
            <w:shd w:val="clear" w:color="auto" w:fill="D9D9D9"/>
          </w:tcPr>
          <w:p>
            <w:pPr>
              <w:spacing w:before="20" w:after="20"/>
            </w:pPr>
            <w:r/>
            <w:r>
              <w:rPr>
                <w:rFonts w:ascii="Verdana" w:hAnsi="Verdana"/>
                <w:b w:val="0"/>
                <w:sz w:val="16"/>
              </w:rPr>
              <w:t>CHIFFRE DU CODE</w:t>
            </w:r>
          </w:p>
        </w:tc>
        <w:tc>
          <w:tcPr>
            <w:tcW w:type="dxa" w:w="3784"/>
            <w:shd w:val="clear" w:color="auto" w:fill="D9D9D9"/>
          </w:tcPr>
          <w:p>
            <w:pPr>
              <w:spacing w:before="20" w:after="20"/>
            </w:pPr>
            <w:r/>
            <w:r>
              <w:rPr>
                <w:rFonts w:ascii="Verdana" w:hAnsi="Verdana"/>
                <w:b w:val="0"/>
                <w:sz w:val="16"/>
              </w:rPr>
              <w:t>SIGNIFICATION</w:t>
            </w:r>
          </w:p>
        </w:tc>
        <w:tc>
          <w:tcPr>
            <w:tcW w:type="dxa" w:w="3784"/>
            <w:shd w:val="clear" w:color="auto" w:fill="D9D9D9"/>
          </w:tcPr>
          <w:p>
            <w:pPr>
              <w:spacing w:before="20" w:after="20"/>
            </w:pPr>
            <w:r/>
            <w:r>
              <w:rPr>
                <w:rFonts w:ascii="Verdana" w:hAnsi="Verdana"/>
                <w:b w:val="0"/>
                <w:sz w:val="16"/>
              </w:rPr>
              <w:t>SOUS 1</w:t>
            </w:r>
          </w:p>
        </w:tc>
        <w:tc>
          <w:tcPr>
            <w:tcW w:type="dxa" w:w="3784"/>
            <w:shd w:val="clear" w:color="auto" w:fill="D9D9D9"/>
          </w:tcPr>
          <w:p>
            <w:pPr>
              <w:spacing w:before="20" w:after="20"/>
            </w:pPr>
            <w:r/>
            <w:r>
              <w:rPr>
                <w:rFonts w:ascii="Verdana" w:hAnsi="Verdana"/>
                <w:b w:val="0"/>
                <w:sz w:val="16"/>
              </w:rPr>
              <w:t>NOTE</w:t>
            </w:r>
          </w:p>
        </w:tc>
      </w:tr>
      <w:tr>
        <w:trPr>
          <w:cantSplit/>
        </w:trPr>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1</w:t>
            </w:r>
          </w:p>
        </w:tc>
        <w:tc>
          <w:tcPr>
            <w:tcW w:type="dxa" w:w="3784"/>
          </w:tcPr>
          <w:p>
            <w:pPr>
              <w:spacing w:before="20" w:after="20"/>
            </w:pPr>
            <w:r/>
            <w:r>
              <w:rPr>
                <w:rFonts w:ascii="Verdana" w:hAnsi="Verdana"/>
                <w:b w:val="0"/>
                <w:sz w:val="16"/>
              </w:rPr>
              <w:t>0,55 - 0,75</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2</w:t>
            </w:r>
          </w:p>
        </w:tc>
        <w:tc>
          <w:tcPr>
            <w:tcW w:type="dxa" w:w="3784"/>
          </w:tcPr>
          <w:p>
            <w:pPr>
              <w:spacing w:before="20" w:after="20"/>
            </w:pPr>
            <w:r/>
            <w:r>
              <w:rPr>
                <w:rFonts w:ascii="Verdana" w:hAnsi="Verdana"/>
                <w:b w:val="0"/>
                <w:sz w:val="16"/>
              </w:rPr>
              <w:t>3,9</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3</w:t>
            </w:r>
          </w:p>
        </w:tc>
        <w:tc>
          <w:tcPr>
            <w:tcW w:type="dxa" w:w="3784"/>
          </w:tcPr>
          <w:p>
            <w:pPr>
              <w:spacing w:before="20" w:after="20"/>
            </w:pPr>
            <w:r/>
            <w:r>
              <w:rPr>
                <w:rFonts w:ascii="Verdana" w:hAnsi="Verdana"/>
                <w:b w:val="0"/>
                <w:sz w:val="16"/>
              </w:rPr>
              <w:t>6,7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4</w:t>
            </w:r>
          </w:p>
        </w:tc>
        <w:tc>
          <w:tcPr>
            <w:tcW w:type="dxa" w:w="3784"/>
          </w:tcPr>
          <w:p>
            <w:pPr>
              <w:spacing w:before="20" w:after="20"/>
            </w:pPr>
            <w:r/>
            <w:r>
              <w:rPr>
                <w:rFonts w:ascii="Verdana" w:hAnsi="Verdana"/>
                <w:b w:val="0"/>
                <w:sz w:val="16"/>
              </w:rPr>
              <w:t>10,7</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5</w:t>
            </w:r>
          </w:p>
        </w:tc>
        <w:tc>
          <w:tcPr>
            <w:tcW w:type="dxa" w:w="3784"/>
          </w:tcPr>
          <w:p>
            <w:pPr>
              <w:spacing w:before="20" w:after="20"/>
            </w:pPr>
            <w:r/>
            <w:r>
              <w:rPr>
                <w:rFonts w:ascii="Verdana" w:hAnsi="Verdana"/>
                <w:b w:val="0"/>
                <w:sz w:val="16"/>
              </w:rPr>
              <w:t>12,0</w:t>
            </w:r>
          </w:p>
        </w:tc>
        <w:tc>
          <w:tcPr>
            <w:tcW w:type="dxa" w:w="3784"/>
          </w:tcPr>
          <w:p>
            <w:pPr>
              <w:spacing w:before="20" w:after="20"/>
            </w:pPr>
            <w:r/>
            <w:r>
              <w:rPr>
                <w:rFonts w:ascii="Verdana" w:hAnsi="Verdana"/>
                <w:b w:val="0"/>
                <w:sz w:val="16"/>
              </w:rPr>
            </w:r>
          </w:p>
        </w:tc>
      </w:tr>
      <w:tr>
        <w:trPr>
          <w:cantSplit/>
        </w:trPr>
        <w:tc>
          <w:tcPr>
            <w:tcW w:type="dxa" w:w="3784"/>
          </w:tcPr>
          <w:p>
            <w:pPr>
              <w:spacing w:before="20" w:after="20"/>
            </w:pPr>
            <w:r/>
            <w:r>
              <w:rPr>
                <w:rFonts w:ascii="Verdana" w:hAnsi="Verdana"/>
                <w:b w:val="0"/>
                <w:sz w:val="16"/>
              </w:rPr>
              <w:t>6 bits mis à 1</w:t>
            </w:r>
          </w:p>
        </w:tc>
        <w:tc>
          <w:tcPr>
            <w:tcW w:type="dxa" w:w="3784"/>
          </w:tcPr>
          <w:p>
            <w:pPr>
              <w:spacing w:before="20" w:after="20"/>
            </w:pPr>
            <w:r/>
            <w:r>
              <w:rPr>
                <w:rFonts w:ascii="Verdana" w:hAnsi="Verdana"/>
                <w:b w:val="0"/>
                <w:sz w:val="16"/>
              </w:rPr>
              <w:t>Valeur manquante</w:t>
            </w:r>
          </w:p>
        </w:tc>
        <w:tc>
          <w:tcPr>
            <w:tcW w:type="dxa" w:w="3784"/>
          </w:tcPr>
          <w:p>
            <w:pPr>
              <w:spacing w:before="20" w:after="20"/>
            </w:pPr>
            <w:r/>
            <w:r>
              <w:rPr>
                <w:rFonts w:ascii="Verdana" w:hAnsi="Verdana"/>
                <w:b w:val="0"/>
                <w:sz w:val="16"/>
              </w:rPr>
            </w:r>
          </w:p>
        </w:tc>
        <w:tc>
          <w:tcPr>
            <w:tcW w:type="dxa" w:w="3784"/>
          </w:tcPr>
          <w:p>
            <w:pPr>
              <w:spacing w:before="20" w:after="20"/>
            </w:pPr>
            <w:r/>
            <w:r>
              <w:rPr>
                <w:rFonts w:ascii="Verdana" w:hAnsi="Verdana"/>
                <w:b w:val="0"/>
                <w:sz w:val="16"/>
              </w:rPr>
            </w:r>
          </w:p>
        </w:tc>
      </w:tr>
    </w:tbl>
    <w:p/>
    <w:p>
      <w:r>
        <w:rPr>
          <w:rFonts w:ascii="Verdana" w:hAnsi="Verdana"/>
          <w:b/>
          <w:sz w:val="18"/>
        </w:rPr>
        <w:t>0 02 053  Caractéristiques de la température de luminance observée par satellite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Température de luminance observée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Température de luminance avec application d'une correction de distorsion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Température de luminance calculée à partir d'une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Température de luminance calculée à partir de sondages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02 054  Caractéristiques des paramètres de sondages effectués par satellite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Paramètre tiré des températures de luminance observées par sondeur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Paramètre tiré des températures de luminance observées par imageur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Paramètre tiré des renseignements fournis par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Paramètre tiré des renseignements d'analyse d'un CMN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Paramètre tiré de renseignements fournis par radiosonde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02 055  Paramètres statistiques des sondages par satellite géostationnaire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Statistiques établies par comparaison des données d'extraction avec les données de radiosondage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Statistiques établies par comparaison des données d'extraction avec les données de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Statistiques établies par comparaison des données de radiosondage avec les données de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Statistiques établies par comparaison des données observées avec les données d'extraction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Statistiques établies par comparaison des données observées avec les données de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Statistiques établies par comparaison des données de radiosondage avec les données d'imageur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Statistiques établies par comparaison des données de radiosondage avec les données de sondeur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Statistiques établies pour radiosondage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Statistiques établies pour première approximation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02 056  Statistiques sur l'exactitude des sondages par satellite géostationnaire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Sommes des différences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Sommes des différences au carré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Taille de l'échantillon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Différence minimale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Différence maximale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02 057  Origine des renseignements de première approximation pour sondages par satellite géostationnaire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Modèle à grilles emboîtées (NGM)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Modèle d'aviation (AVN)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Modèle de prévision à moyenne échéance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Modèle de prévision du Système mondial d'assimilation des données (GDAS)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Sondages préalables (dans les trois heures qui précèdent)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Climatologie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02 058  Périodes de validité des renseignements de première approximation pour sondages par satellite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12 heures et 18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18 heures et 24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6 heures et 12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Plus de 24 heures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02 059  Origine des renseignements d'analyse pour sondages par satellite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Analyses du modèle à grilles emboîtées (NGM)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Analyses du modèle d'aviation (AVN)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Analyses du modèle de prévision à moyenne échéance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Analyses du modèle de prévision du Système mondial d'assimilation des données (GDAS) NCEP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02 060  Origine des renseignements de surface pour sondages par satellite GOES-I/M</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Messages de surface en heure présente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Messages de navire en heure présente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Messages de bouée en heure présente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Messages de surface datant d'une heure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Messages de navire datant d'une heure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Messages de bouée datant d'une heure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02 061  Système de navigation pour l'aéronautique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Système de navigation par inertie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OMEGA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02 062  Type de système de retransmission des données d'aéronef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ASDAR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ASDAR (système ACARS aussi disponible mais pas opérationnel)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ASDAR (système ACARS aussi disponible et opérationnel)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ACARS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ACARS (système ASDAR aussi disponible mais pas opérationnel)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ACARS (système ASDAR aussi disponible et opérationnel)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02 064  Qualité de l'angle de roulis de l'aéronef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Mauvaise</w:t>
            </w:r>
          </w:p>
        </w:tc>
        <w:tc>
          <w:tcPr>
            <w:tcW w:type="dxa" w:w="5046"/>
          </w:tcPr>
          <w:p>
            <w:pPr>
              <w:spacing w:before="20" w:after="20"/>
            </w:pPr>
            <w:r/>
            <w:r>
              <w:rPr>
                <w:rFonts w:ascii="Verdana" w:hAnsi="Verdana"/>
                <w:b w:val="0"/>
                <w:sz w:val="16"/>
              </w:rPr>
              <w:t>Note 20: En atmosphère claire ou dans les nuages: coder MOD OCNL SEV par le chiffre 12 ou 13, respectivement.</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02 066  Système de réception au sol des données de radiosondage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InterMet IMS 2000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InterMet IMS 1500C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GTC1, Shanghai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GTC2, Nanjing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GFE(L)1, Nanjing</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Radar MARL-A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Radar VEKTOR-M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7-61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02 070  Spécification originale de la latitude/longitude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Position réelle en secondes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Position réelle en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Position réelle en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Position réelle en dixièmes de degré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Position réelle en centièmes de degré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Position par rapport à un point de contrôle, en secondes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Position par rapport à un point de contrôle, en minutes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Position par rapport à un point de contrôle, en degrés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Position par rapport à un point de contrôle, en dixièmes de degré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Position par rapport à un point de contrôle, en centièmes de degré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Position réelle en dixièmes de minute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Position par rapport à un point de contrôle, en dixièmes de minute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02 080  Fabricant du ballon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Kaysam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Totex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KKS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Guangzhou Shuangyi (Chine)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ChemChina Zhuzhou (Chine)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5-61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02 081  Type de ballon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GP26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GP28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GP30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HM26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HM28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HM30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SV16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Totex TA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Totex TX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02 083  Type d'abri de gonflement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Haut de plafond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Bas de plafond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BILS (balloon-inflated launch system)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BILS sur toit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Système de sondage automatique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02 084  Type de gaz insufflé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Hydrogène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Hélium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Gaz naturel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02 092  Méthode de calcul du profil de l'ozone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Extraction à partir du canal UV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Extraction à partir du canal visible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Extraction combinée à partir du canal visible et du canal UV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02 095  Type de capteur de pression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Capacitif anéroïde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Pression dérivée du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Extensomètre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Condensateur en silicium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Dérivé(e) de l'altitude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02 096  Type de capteur de température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Thermistance-tige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Thermistance sphérique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Bille capacitive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Fil capacitif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Capteur résistif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Thermistance pavé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Thermomètre à mercure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Thermomètre à alcool/glycol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8-30</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02 097  Type de capteur de l'humidité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Hygristor carbone VIZ Mark II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Hygristor VIZ B2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A-Humicap Vaisala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H-Humicap Vaisala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Capteur capacitif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Vaisala RS90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Hygristor carbone Sippican Mark IIA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Deux capteurs capacitifs Humicap chauffés alternativement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Capteur capacitif Humicap avec dégivrage actif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Hygristor au carbone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Psychromètre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Capteur capacitif (polymère)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Capteur capacitif (céramique, dont oxyde métallique)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Capteur résistif (générique)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Capteur résistif (polymère salin)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Capteur résistif (polymère conducteur)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Capteur à conductivité thermique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Capteur gravimétrique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Capteur à ressort métallique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Hygromètre à cheveu ordinaire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Hygromètre à cheveu laminé (torsion)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Hygromètre à peau de batteur d'or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Hygromètre à miroir refroidi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Cellule à point de rosée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Capteur d'absorption optique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25-30</w:t>
            </w:r>
          </w:p>
        </w:tc>
        <w:tc>
          <w:tcPr>
            <w:tcW w:type="dxa" w:w="5046"/>
          </w:tcPr>
          <w:p>
            <w:pPr>
              <w:spacing w:before="20" w:after="20"/>
            </w:pPr>
            <w:r/>
            <w:r>
              <w:rPr>
                <w:rFonts w:ascii="Verdana" w:hAnsi="Verdana"/>
                <w:b w:val="0"/>
                <w:sz w:val="16"/>
              </w:rPr>
              <w:t>En réserve pour un usage futur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02 099  Polarisation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Polarisation HH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Polarisation VV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Composante réelle de polarisation HV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Composante imaginaire de polarisation HV</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02 101  Type d'antenne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Paraboloïde à alimentation frontale centré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Paraboloïde à alimentation frontale excentré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Paraboloïde Cassegrain centré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Paraboloïde Cassegrain excentré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Réseau d'éléments plan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Réseau coaxial-collinéaire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Réseau d'éléments Yagi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Microligne à ruban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02 103  Radôme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L'antenne radar est protégée par un radôme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02 104  Polarisation de l'antenne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Polarisation horizontale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Polarisation verticale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Polarisation circulaire droite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Polarisation circulaire gauche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Polarisation horizontale et verticale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Polarisation circulaire droite et gauche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Polarisation quasi horizontale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Polarisation quasi verticale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02 115  Type d'équipement d'observation en surface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Banque de données ponctuelles (PDB)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RSOIS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ASOS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Psychromètre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F420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02 119  Fonctionnement de l'instrument RA-2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Mode d'étalonnage en fréquence intermédiaire (IF CAL)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Dispositif de test intégré - numérique (BITE DGT)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Dispositif de test intégré - radiofréquence (BITE RF)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Poursuite préréglée (PSET TRK)</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Boucle de sortie préréglée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Acquisition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Poursuite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02 131  Commande de gain variable dans le temps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Commande de gain variable dans le temps opérationnelle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02 137  Rapport de double fréquence de répétition des impulsions du radar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5:4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02 138  Direction de rotation de l'antenne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Rotation dans le sens des aiguilles d'une montre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Rotation dans le sens inverse des aiguilles d'une montre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02 139  Configuration de l'instrument SIRAL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SIRAL nominal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SIRAL redondant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02 143  Type d'instrument de mesure de l'ozone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Spectrophotomètre de Brewer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Caver Teichert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Dobson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Dobson (Japon)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Ehmet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Télescope Fecker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Hoelper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Jodmètre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Ozonomètre à filtre M-83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Mast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Oxford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Paetzold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Regener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Réservé pour utilisation future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Ozonomètre à filtre Vassy</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Iodure de carbone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Barboteur pour mesure de l'ozone en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Ozonomètre à filtre M-124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Sonde à cellule électrochimique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20-126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02 144  Type de source lumineuse pour spectrophotomètres Brewer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Rayonnement solaire direct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Rayonnement solaire direct, atténuateur #1</w:t>
            </w:r>
          </w:p>
        </w:tc>
        <w:tc>
          <w:tcPr>
            <w:tcW w:type="dxa" w:w="5046"/>
          </w:tcPr>
          <w:p>
            <w:pPr>
              <w:spacing w:before="20" w:after="20"/>
            </w:pPr>
            <w:r/>
            <w:r>
              <w:rPr>
                <w:rFonts w:ascii="Verdana" w:hAnsi="Verdana"/>
                <w:b w:val="0"/>
                <w:sz w:val="16"/>
              </w:rPr>
              <w:t>Note 38: La table de code 0 01 032 est à produire par chaque centre.</w:t>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Rayonnement solaire direct, atténuateur #2</w:t>
            </w:r>
          </w:p>
        </w:tc>
        <w:tc>
          <w:tcPr>
            <w:tcW w:type="dxa" w:w="5046"/>
          </w:tcPr>
          <w:p>
            <w:pPr>
              <w:spacing w:before="20" w:after="20"/>
            </w:pPr>
            <w:r/>
            <w:r>
              <w:rPr>
                <w:rFonts w:ascii="Verdana" w:hAnsi="Verdana"/>
                <w:b w:val="0"/>
                <w:sz w:val="16"/>
              </w:rPr>
              <w:t>Note 38: La table de code 0 01 032 est à produire par chaque centre.</w:t>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Mise au point sur la Lune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Mise au point sur le Soleil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Mise au point sur le Soleil avec corrections provenant de mesures du ciel adjacent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Rayonnement du ciel au zénith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02 145  Longueurs d'ondes et réglage pour instruments Dobson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Longueurs d'ondes AD, réglage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Longueurs d'ondes BD, réglage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Longueurs d'ondes CD, réglage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Longueurs d'ondes CC´, réglage normal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Longueurs d'ondes AD, image mise au 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Longueurs d'ondes BD, image mise au 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Longueurs d'ondes CD, image mise au 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Longueurs d'ondes CC´, image mise au point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02 146  État de la source lumineuse pour instruments Dobson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Rayonnement solaire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Rayonnement lunaire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Rayonnement du ciel clair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Nuage au zénith (couche uniforme stratifiée, de faible opacité)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Nuage au zénith (couche uniforme ou modérément variable, d'opacité moyenne)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Nuage au zénith (couche uniforme ou modérément variable, de forte opacité)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Nuage au zénith (opacité très variable, avec ou sans précipitation)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Nuage au zénith (brouillard)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Brume au zénith</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Rayonnement solaire à travers un nuage, du brouillard ou de la brume légère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02 147  Mode de transmission au centre de collecte des données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Liaison spécialisée directe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Ligne commutée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Fournisseur d'accès Internet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DCP par satellite (MTSAT, Météosat, etc.)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VSAT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GAN, BGAN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Terminal THISS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Satellites Iridium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Téléphonie mobile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02 148  Système de collecte des données et/ou de positionnement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Argos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GOES DCP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METEOSAT DCP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ORBCOMM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INMARSAT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Iridium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Iridium et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Argos-3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Argos-4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02 149  Type de bouée de collecte de données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Bouée dérivante non précisée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Bouée dérivante lagrangienne standard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Bouée dérivante standard de type PEMG (bouée dérivante météorologique non lagrangienne)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Bouée dérivante de type PEMG de mesure du vent (bouée dérivante météorologique non lagrangienne)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Bouée dérivante posée sur la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Bouée dérivante lagrangienne standard SVPG avec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Bouée dérivante SVP-HR avec capteur de température haute résolution ou chaîne à thermistance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Flotteur immergé non précisé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SOFAR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ALACE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MARVOR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RAFOS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PROVOR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SOLO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APEX</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Bouée ancrée non précisée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NOMAD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Diamètre de 3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Diamètre de 10-12 mètres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Série SADO 30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ATLAS (par exemple zone TAO)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Bouée TRITON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Ancrage FLEX (par exemple zone TIP)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Enregistreur de vagues omnidirectionnel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Enregistreur de vagues directionnel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Flotteur immergé ARGO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PALACE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NEMO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NINJA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Bouée/flotteur sur glaces dérivantes (POPS ou ITP)</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Bouée ancrée océanographique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Bouée ancrée météorologique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Bouée ancrée multi-paramètres (OceanSITES)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Marégraphe ou bouée Tsunami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Balise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Bouée de mesure du bilan de masse des glaces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02 150  Numéro du canal de l'instrument TOVS/ATOVS/AVHRR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HIRS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HIRS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HIRS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HIRS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HIRS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HIRS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HIRS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HIRS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HIRS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HIRS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HIRS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HIRS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HIRS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HIRS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HIRS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HIRS 16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HIRS 17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HIRS 18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HIRS 19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HIRS 20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MSU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MSU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MSU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MSU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w:t>
            </w:r>
          </w:p>
        </w:tc>
        <w:tc>
          <w:tcPr>
            <w:tcW w:type="dxa" w:w="5046"/>
          </w:tcPr>
          <w:p>
            <w:pPr>
              <w:spacing w:before="20" w:after="20"/>
            </w:pPr>
            <w:r/>
            <w:r>
              <w:rPr>
                <w:rFonts w:ascii="Verdana" w:hAnsi="Verdana"/>
                <w:b w:val="0"/>
                <w:sz w:val="16"/>
              </w:rPr>
              <w:t>SSU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26</w:t>
            </w:r>
          </w:p>
        </w:tc>
        <w:tc>
          <w:tcPr>
            <w:tcW w:type="dxa" w:w="5046"/>
          </w:tcPr>
          <w:p>
            <w:pPr>
              <w:spacing w:before="20" w:after="20"/>
            </w:pPr>
            <w:r/>
            <w:r>
              <w:rPr>
                <w:rFonts w:ascii="Verdana" w:hAnsi="Verdana"/>
                <w:b w:val="0"/>
                <w:sz w:val="16"/>
              </w:rPr>
              <w:t>SSU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27</w:t>
            </w:r>
          </w:p>
        </w:tc>
        <w:tc>
          <w:tcPr>
            <w:tcW w:type="dxa" w:w="5046"/>
          </w:tcPr>
          <w:p>
            <w:pPr>
              <w:spacing w:before="20" w:after="20"/>
            </w:pPr>
            <w:r/>
            <w:r>
              <w:rPr>
                <w:rFonts w:ascii="Verdana" w:hAnsi="Verdana"/>
                <w:b w:val="0"/>
                <w:sz w:val="16"/>
              </w:rPr>
              <w:t>SSU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28</w:t>
            </w:r>
          </w:p>
        </w:tc>
        <w:tc>
          <w:tcPr>
            <w:tcW w:type="dxa" w:w="5046"/>
          </w:tcPr>
          <w:p>
            <w:pPr>
              <w:spacing w:before="20" w:after="20"/>
            </w:pPr>
            <w:r/>
            <w:r>
              <w:rPr>
                <w:rFonts w:ascii="Verdana" w:hAnsi="Verdana"/>
                <w:b w:val="0"/>
                <w:sz w:val="16"/>
              </w:rPr>
              <w:t>AMSU-A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29</w:t>
            </w:r>
          </w:p>
        </w:tc>
        <w:tc>
          <w:tcPr>
            <w:tcW w:type="dxa" w:w="5046"/>
          </w:tcPr>
          <w:p>
            <w:pPr>
              <w:spacing w:before="20" w:after="20"/>
            </w:pPr>
            <w:r/>
            <w:r>
              <w:rPr>
                <w:rFonts w:ascii="Verdana" w:hAnsi="Verdana"/>
                <w:b w:val="0"/>
                <w:sz w:val="16"/>
              </w:rPr>
              <w:t>AMSU-A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w:t>
            </w:r>
          </w:p>
        </w:tc>
        <w:tc>
          <w:tcPr>
            <w:tcW w:type="dxa" w:w="5046"/>
          </w:tcPr>
          <w:p>
            <w:pPr>
              <w:spacing w:before="20" w:after="20"/>
            </w:pPr>
            <w:r/>
            <w:r>
              <w:rPr>
                <w:rFonts w:ascii="Verdana" w:hAnsi="Verdana"/>
                <w:b w:val="0"/>
                <w:sz w:val="16"/>
              </w:rPr>
              <w:t>AMSU-A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w:t>
            </w:r>
          </w:p>
        </w:tc>
        <w:tc>
          <w:tcPr>
            <w:tcW w:type="dxa" w:w="5046"/>
          </w:tcPr>
          <w:p>
            <w:pPr>
              <w:spacing w:before="20" w:after="20"/>
            </w:pPr>
            <w:r/>
            <w:r>
              <w:rPr>
                <w:rFonts w:ascii="Verdana" w:hAnsi="Verdana"/>
                <w:b w:val="0"/>
                <w:sz w:val="16"/>
              </w:rPr>
              <w:t>AMSU-A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w:t>
            </w:r>
          </w:p>
        </w:tc>
        <w:tc>
          <w:tcPr>
            <w:tcW w:type="dxa" w:w="5046"/>
          </w:tcPr>
          <w:p>
            <w:pPr>
              <w:spacing w:before="20" w:after="20"/>
            </w:pPr>
            <w:r/>
            <w:r>
              <w:rPr>
                <w:rFonts w:ascii="Verdana" w:hAnsi="Verdana"/>
                <w:b w:val="0"/>
                <w:sz w:val="16"/>
              </w:rPr>
              <w:t>AMSU-A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33</w:t>
            </w:r>
          </w:p>
        </w:tc>
        <w:tc>
          <w:tcPr>
            <w:tcW w:type="dxa" w:w="5046"/>
          </w:tcPr>
          <w:p>
            <w:pPr>
              <w:spacing w:before="20" w:after="20"/>
            </w:pPr>
            <w:r/>
            <w:r>
              <w:rPr>
                <w:rFonts w:ascii="Verdana" w:hAnsi="Verdana"/>
                <w:b w:val="0"/>
                <w:sz w:val="16"/>
              </w:rPr>
              <w:t>AMSU-A 6</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34</w:t>
            </w:r>
          </w:p>
        </w:tc>
        <w:tc>
          <w:tcPr>
            <w:tcW w:type="dxa" w:w="5046"/>
          </w:tcPr>
          <w:p>
            <w:pPr>
              <w:spacing w:before="20" w:after="20"/>
            </w:pPr>
            <w:r/>
            <w:r>
              <w:rPr>
                <w:rFonts w:ascii="Verdana" w:hAnsi="Verdana"/>
                <w:b w:val="0"/>
                <w:sz w:val="16"/>
              </w:rPr>
              <w:t>AMSU-A 7</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35</w:t>
            </w:r>
          </w:p>
        </w:tc>
        <w:tc>
          <w:tcPr>
            <w:tcW w:type="dxa" w:w="5046"/>
          </w:tcPr>
          <w:p>
            <w:pPr>
              <w:spacing w:before="20" w:after="20"/>
            </w:pPr>
            <w:r/>
            <w:r>
              <w:rPr>
                <w:rFonts w:ascii="Verdana" w:hAnsi="Verdana"/>
                <w:b w:val="0"/>
                <w:sz w:val="16"/>
              </w:rPr>
              <w:t>AMSU-A 8</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w:t>
            </w:r>
          </w:p>
        </w:tc>
        <w:tc>
          <w:tcPr>
            <w:tcW w:type="dxa" w:w="5046"/>
          </w:tcPr>
          <w:p>
            <w:pPr>
              <w:spacing w:before="20" w:after="20"/>
            </w:pPr>
            <w:r/>
            <w:r>
              <w:rPr>
                <w:rFonts w:ascii="Verdana" w:hAnsi="Verdana"/>
                <w:b w:val="0"/>
                <w:sz w:val="16"/>
              </w:rPr>
              <w:t>AMSU-A 9</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37</w:t>
            </w:r>
          </w:p>
        </w:tc>
        <w:tc>
          <w:tcPr>
            <w:tcW w:type="dxa" w:w="5046"/>
          </w:tcPr>
          <w:p>
            <w:pPr>
              <w:spacing w:before="20" w:after="20"/>
            </w:pPr>
            <w:r/>
            <w:r>
              <w:rPr>
                <w:rFonts w:ascii="Verdana" w:hAnsi="Verdana"/>
                <w:b w:val="0"/>
                <w:sz w:val="16"/>
              </w:rPr>
              <w:t>AMSU-A 10</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38</w:t>
            </w:r>
          </w:p>
        </w:tc>
        <w:tc>
          <w:tcPr>
            <w:tcW w:type="dxa" w:w="5046"/>
          </w:tcPr>
          <w:p>
            <w:pPr>
              <w:spacing w:before="20" w:after="20"/>
            </w:pPr>
            <w:r/>
            <w:r>
              <w:rPr>
                <w:rFonts w:ascii="Verdana" w:hAnsi="Verdana"/>
                <w:b w:val="0"/>
                <w:sz w:val="16"/>
              </w:rPr>
              <w:t>AMSU-A 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39</w:t>
            </w:r>
          </w:p>
        </w:tc>
        <w:tc>
          <w:tcPr>
            <w:tcW w:type="dxa" w:w="5046"/>
          </w:tcPr>
          <w:p>
            <w:pPr>
              <w:spacing w:before="20" w:after="20"/>
            </w:pPr>
            <w:r/>
            <w:r>
              <w:rPr>
                <w:rFonts w:ascii="Verdana" w:hAnsi="Verdana"/>
                <w:b w:val="0"/>
                <w:sz w:val="16"/>
              </w:rPr>
              <w:t>AMSU-A 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40</w:t>
            </w:r>
          </w:p>
        </w:tc>
        <w:tc>
          <w:tcPr>
            <w:tcW w:type="dxa" w:w="5046"/>
          </w:tcPr>
          <w:p>
            <w:pPr>
              <w:spacing w:before="20" w:after="20"/>
            </w:pPr>
            <w:r/>
            <w:r>
              <w:rPr>
                <w:rFonts w:ascii="Verdana" w:hAnsi="Verdana"/>
                <w:b w:val="0"/>
                <w:sz w:val="16"/>
              </w:rPr>
              <w:t>AMSU-A 13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w:t>
            </w:r>
          </w:p>
        </w:tc>
        <w:tc>
          <w:tcPr>
            <w:tcW w:type="dxa" w:w="5046"/>
          </w:tcPr>
          <w:p>
            <w:pPr>
              <w:spacing w:before="20" w:after="20"/>
            </w:pPr>
            <w:r/>
            <w:r>
              <w:rPr>
                <w:rFonts w:ascii="Verdana" w:hAnsi="Verdana"/>
                <w:b w:val="0"/>
                <w:sz w:val="16"/>
              </w:rPr>
              <w:t>AMSU-A 14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42</w:t>
            </w:r>
          </w:p>
        </w:tc>
        <w:tc>
          <w:tcPr>
            <w:tcW w:type="dxa" w:w="5046"/>
          </w:tcPr>
          <w:p>
            <w:pPr>
              <w:spacing w:before="20" w:after="20"/>
            </w:pPr>
            <w:r/>
            <w:r>
              <w:rPr>
                <w:rFonts w:ascii="Verdana" w:hAnsi="Verdana"/>
                <w:b w:val="0"/>
                <w:sz w:val="16"/>
              </w:rPr>
              <w:t>AMSU-A 15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43</w:t>
            </w:r>
          </w:p>
        </w:tc>
        <w:tc>
          <w:tcPr>
            <w:tcW w:type="dxa" w:w="5046"/>
          </w:tcPr>
          <w:p>
            <w:pPr>
              <w:spacing w:before="20" w:after="20"/>
            </w:pPr>
            <w:r/>
            <w:r>
              <w:rPr>
                <w:rFonts w:ascii="Verdana" w:hAnsi="Verdana"/>
                <w:b w:val="0"/>
                <w:sz w:val="16"/>
              </w:rPr>
              <w:t>AMSU-B 1/MHS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44</w:t>
            </w:r>
          </w:p>
        </w:tc>
        <w:tc>
          <w:tcPr>
            <w:tcW w:type="dxa" w:w="5046"/>
          </w:tcPr>
          <w:p>
            <w:pPr>
              <w:spacing w:before="20" w:after="20"/>
            </w:pPr>
            <w:r/>
            <w:r>
              <w:rPr>
                <w:rFonts w:ascii="Verdana" w:hAnsi="Verdana"/>
                <w:b w:val="0"/>
                <w:sz w:val="16"/>
              </w:rPr>
              <w:t>AMSU-B 2/MHS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45</w:t>
            </w:r>
          </w:p>
        </w:tc>
        <w:tc>
          <w:tcPr>
            <w:tcW w:type="dxa" w:w="5046"/>
          </w:tcPr>
          <w:p>
            <w:pPr>
              <w:spacing w:before="20" w:after="20"/>
            </w:pPr>
            <w:r/>
            <w:r>
              <w:rPr>
                <w:rFonts w:ascii="Verdana" w:hAnsi="Verdana"/>
                <w:b w:val="0"/>
                <w:sz w:val="16"/>
              </w:rPr>
              <w:t>AMSU-B 3/MHS 3</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AMSU-B 4/MHS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47</w:t>
            </w:r>
          </w:p>
        </w:tc>
        <w:tc>
          <w:tcPr>
            <w:tcW w:type="dxa" w:w="5046"/>
          </w:tcPr>
          <w:p>
            <w:pPr>
              <w:spacing w:before="20" w:after="20"/>
            </w:pPr>
            <w:r/>
            <w:r>
              <w:rPr>
                <w:rFonts w:ascii="Verdana" w:hAnsi="Verdana"/>
                <w:b w:val="0"/>
                <w:sz w:val="16"/>
              </w:rPr>
              <w:t>AMSU-B 5/MHS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48</w:t>
            </w:r>
          </w:p>
        </w:tc>
        <w:tc>
          <w:tcPr>
            <w:tcW w:type="dxa" w:w="5046"/>
          </w:tcPr>
          <w:p>
            <w:pPr>
              <w:spacing w:before="20" w:after="20"/>
            </w:pPr>
            <w:r/>
            <w:r>
              <w:rPr>
                <w:rFonts w:ascii="Verdana" w:hAnsi="Verdana"/>
                <w:b w:val="0"/>
                <w:sz w:val="16"/>
              </w:rPr>
              <w:t>AVHRR 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49</w:t>
            </w:r>
          </w:p>
        </w:tc>
        <w:tc>
          <w:tcPr>
            <w:tcW w:type="dxa" w:w="5046"/>
          </w:tcPr>
          <w:p>
            <w:pPr>
              <w:spacing w:before="20" w:after="20"/>
            </w:pPr>
            <w:r/>
            <w:r>
              <w:rPr>
                <w:rFonts w:ascii="Verdana" w:hAnsi="Verdana"/>
                <w:b w:val="0"/>
                <w:sz w:val="16"/>
              </w:rPr>
              <w:t>AVHRR 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50</w:t>
            </w:r>
          </w:p>
        </w:tc>
        <w:tc>
          <w:tcPr>
            <w:tcW w:type="dxa" w:w="5046"/>
          </w:tcPr>
          <w:p>
            <w:pPr>
              <w:spacing w:before="20" w:after="20"/>
            </w:pPr>
            <w:r/>
            <w:r>
              <w:rPr>
                <w:rFonts w:ascii="Verdana" w:hAnsi="Verdana"/>
                <w:b w:val="0"/>
                <w:sz w:val="16"/>
              </w:rPr>
              <w:t>AVHRR 3a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w:t>
            </w:r>
          </w:p>
        </w:tc>
        <w:tc>
          <w:tcPr>
            <w:tcW w:type="dxa" w:w="5046"/>
          </w:tcPr>
          <w:p>
            <w:pPr>
              <w:spacing w:before="20" w:after="20"/>
            </w:pPr>
            <w:r/>
            <w:r>
              <w:rPr>
                <w:rFonts w:ascii="Verdana" w:hAnsi="Verdana"/>
                <w:b w:val="0"/>
                <w:sz w:val="16"/>
              </w:rPr>
              <w:t>AVHRR 3b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52</w:t>
            </w:r>
          </w:p>
        </w:tc>
        <w:tc>
          <w:tcPr>
            <w:tcW w:type="dxa" w:w="5046"/>
          </w:tcPr>
          <w:p>
            <w:pPr>
              <w:spacing w:before="20" w:after="20"/>
            </w:pPr>
            <w:r/>
            <w:r>
              <w:rPr>
                <w:rFonts w:ascii="Verdana" w:hAnsi="Verdana"/>
                <w:b w:val="0"/>
                <w:sz w:val="16"/>
              </w:rPr>
              <w:t>AVHRR 4</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53</w:t>
            </w:r>
          </w:p>
        </w:tc>
        <w:tc>
          <w:tcPr>
            <w:tcW w:type="dxa" w:w="5046"/>
          </w:tcPr>
          <w:p>
            <w:pPr>
              <w:spacing w:before="20" w:after="20"/>
            </w:pPr>
            <w:r/>
            <w:r>
              <w:rPr>
                <w:rFonts w:ascii="Verdana" w:hAnsi="Verdana"/>
                <w:b w:val="0"/>
                <w:sz w:val="16"/>
              </w:rPr>
              <w:t>AVHRR 5</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54-62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02 151  Indicateur d'identification du radiomètre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AMSU-A1-1</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AMSU-A1-2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AMSU-A2</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AMSU-B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AVHRR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MHS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10-2046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2047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02 152  Instrument de satellite utilisé dans le traitement des données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Sondeur en infrarouge à grand pouvoir séparateur (HIRS)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Sondeur à hyperfréquence (MSU)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Sondeur stratosphérique (SSU)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AMI mode vent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AMI mode vague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AMI mode image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Altimètre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ATSR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Imageur géostationnaire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Sondeur géostationnaire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Instrument de mesure géostationnaire du bilan radiatif de la Terre (GERB)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Radiomètre à balayage multibande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Imageur en orbite polaire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14-30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02 158  Instrument RA-2</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Non-concordance du vecteur redondant - amplificateur de grande puissance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Non-concordance du vecteur redondant - RFSS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Bande d'étalonnage de la PTR: 320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Bande d'étalonnage de la PTR: 80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Bande d'étalonnage de la PTR: 20 MHz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Bande d'étalonnage de la PTR: 160 MHz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Paramètres d'étalonnage en vol disponibles pour la bande Ku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Paramètres d'étalonnage en vol disponibles pour la bande 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02 159  Instrument MWR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Manque d'uniformité de la température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Données manquantes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Canal redondant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Protection du circuit d'alimentation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Protection contre surtension ou surcharge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02 160  Longueur d'onde sur laquelle fonctionne le radar</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De 10 à moins de 20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De 20 à moins de 40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De 40 à moins de 60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De 60 à moins de 90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De 90 à moins de 110 mm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110 mm et plus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10-14</w:t>
            </w:r>
          </w:p>
        </w:tc>
        <w:tc>
          <w:tcPr>
            <w:tcW w:type="dxa" w:w="5046"/>
          </w:tcPr>
          <w:p>
            <w:pPr>
              <w:spacing w:before="20" w:after="20"/>
            </w:pPr>
            <w:r/>
            <w:r>
              <w:rPr>
                <w:rFonts w:ascii="Verdana" w:hAnsi="Verdana"/>
                <w:b w:val="0"/>
                <w:sz w:val="16"/>
              </w:rPr>
              <w:t>Non utilisé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02 161  Méthode de traitement des données du vent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1-10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Hauteur du vent calculée à partir de la pression médiane de la cible au sommet des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La cible est nuageuse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Inversion à faible niveau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Méthode de contribution de la corrélation croisée (CCC)</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Suivi «imbriqué»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02 162  Méthode élargie de détermination de l'altitude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Éditeur automatique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Détermination de l'altitude dans le canal infrarouge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Détermination de l'altitude dans le canal de la vapeur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Détermination de l'altitude dans le canal H2O par interception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Détermination de l'altitude dans le canal CO2 par découpage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Gradient maximum dans les pixels à faible résolution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Gradient maximum dans les pixels à haute résolution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Détermination primaire de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Détermination de l'épaisseur de la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Fonction de contribution cumulative - 10 % de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Fonction de contribution cumulative - 50 % de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Fonction de contribution cumulative - 90 % de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Fonction de contribution cumulative - altitude du gradient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Méthode du quotient - un canal infrarouge sur deux canaux vapeur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Détermination de l'altitude à partir de plusieurs éléments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Estimation optimale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Correction d'inversion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Détermination géométrique de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18-62</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02 163  Méthode de détermination de l'altitude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Êditeur automatique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Détermination de l'altitude dans le canal infrarouge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Détermination de l'altitude dans le canal de la vapeur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Détermination de l'altitude dans le canal H2O par interception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Détermination de l'altitude dans le canal CO2 par découpage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Gradient maximum dans les pixels à faible résolution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Gradient maximum dans les pixels à plus haute résolution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Détermination primaire de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Détermination de l'épaisseur de la couche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Fonction de contribution cumulative - 10 pour cent de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Fonction de contribution cumulative - 50 pour cent de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Fonction de contribution cumulative - 90 pour cent de l'altitude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Fonction de contribution cumulative - altitude du gradient maximal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Méthode du quotient un canal infrarouge sur deux canaux vapeur d'eau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Détermination de l'altitude à partir de plusieurs éléments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02 164  Méthode de corrélation des traceurs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LP - Norme basée sur un minimum au sens des moindres carrés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EN - Norme euclidienne avec corrélation des luminances énergétiques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CC - Corrélation croisée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Stéréocorrespondance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02 165  Indicateur de type de luminance énergétique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Voie dégagée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Voie partiellement nuageuse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Voie nuageuse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Signal apodisé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Signal non apodisé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Signal reconstruit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Signal débarrassé de l'influence des nuages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02 166  Type de luminance énergétique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Type non défini</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Régression statistique automatique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Mesure ciel clair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Mesure ciel partiellement couvert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Mesure ciel couvert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02 167  Méthode de calcul de la luminance énergétique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Méthode non définie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Luminance énergétique - données brutes de niveau 1b</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Luminance énergétique - données traitées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02 169  Type d'anémomètre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Anémomètre à coupelles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Anémomètre à hélice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Vent déduit du bruit ambiant (WOTAN)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Anémomètre sonique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02 170  Capteur d'humidité de l'aéronef</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WVSS-II, Version 1, SpectraSensors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WVSS-II, Version 2, SpectraSensors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WVSS-II, Version 3, SpectraSensors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3-61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62</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63</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02 172  Type de produit pour les données extraites concernant les gaz atmosphériques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Donnée extraite d'un sondage au nadir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Donnée extraite d'un sondage au limbe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3-254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02 175  Méthode de mesure des précipitations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Mesure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Instrument à augets basculeurs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Instrument à pesée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Instrument optique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Instrument à capteur de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Instrument à flotteur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Instrument compte-gouttes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02 176  Méthode de mesure de l'état du sol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Caméra vidéo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Infrarouge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Laser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02 177  Méthode de mesure de l'épaisseur de neige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Ultrasons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Caméra vidéo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Laser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02 178  Méthode de mesure de la teneur en eau à l'état liquide des précipitations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Mesure optique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Mesure capacitive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02 179  Type d'algorithme utilisé pour l'état du ciel</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Algorithme VAISALA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Algorithme ASOS (FAA)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Algorithme AWOS (Canada)</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02 180  Système principal de détection du temps présent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Système de mesure de la diffusion optique en combinaison avec un système de détection de l'apparition des précipitations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Système de mesure de la diffusion vers l'avant et/ou de la rétrodiffusion d'un faisceau lumineux visible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Système de mesure de la diffusion vers l'avant et/ou de la rétrodiffusion d'un faisceau lumineux infrarouge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Système à diode électroluminescente dans l'infrarouge (IRED)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Système à radar Doppler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02 181  Capteur supplémentaire du temps présent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Détecteur de 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Capteur de pluie se congelant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Détecteur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Capteur de grêle et granules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02 182  Système de mesure de la visibilité</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Mesure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Système à transmissiomètre (base &gt; 25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Système à transmissiomètre (base &lt; 25 m)</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Système de mesure de la diffusion vers l'avant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Système de mesure de la rétrodiffusion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02 183  Système de détection des nuages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Système à célomètre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Système à caméra infrarouge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Système à caméra dans le visible et en hyperfréquences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Système à imageur du ciel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Système à chrono-caméra vidéo</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Système à lidar à micro-impulsions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02 184  Type de capteur de détection de la foudre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Observation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Capteur imageur d'éclairs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Détecteur d'orages électriques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Capteur magnétique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Capteur du type d'éclairs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Compteur d'éclairs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Capteur à corrélation de formes d'onde ATDnet VLF</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02 185  Méthode de mesure de l'évaporation</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Mesure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Instrument à flotteur équilibré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Instrument à capteur de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Méthode ultrasonique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Méthode hydraulique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5-13</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Autre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02 186  Détection des divers types de précipitations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Type de précipitation inconnu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Précipitation liquide ne se congelant pas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Précipitation liquide se congelant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Bruine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Pluie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Précipitation solide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Neige en grains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Neige roulée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Granules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Cristaux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Poudrin de glace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Grésil</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w:t>
            </w:r>
          </w:p>
        </w:tc>
        <w:tc>
          <w:tcPr>
            <w:tcW w:type="dxa" w:w="5046"/>
          </w:tcPr>
          <w:p>
            <w:pPr>
              <w:spacing w:before="20" w:after="20"/>
            </w:pPr>
            <w:r/>
            <w:r>
              <w:rPr>
                <w:rFonts w:ascii="Verdana" w:hAnsi="Verdana"/>
                <w:b w:val="0"/>
                <w:sz w:val="16"/>
              </w:rPr>
              <w:t>Grêle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Verglas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16</w:t>
            </w:r>
          </w:p>
        </w:tc>
        <w:tc>
          <w:tcPr>
            <w:tcW w:type="dxa" w:w="5046"/>
          </w:tcPr>
          <w:p>
            <w:pPr>
              <w:spacing w:before="20" w:after="20"/>
            </w:pPr>
            <w:r/>
            <w:r>
              <w:rPr>
                <w:rFonts w:ascii="Verdana" w:hAnsi="Verdana"/>
                <w:b w:val="0"/>
                <w:sz w:val="16"/>
              </w:rPr>
              <w:t>Givre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17</w:t>
            </w:r>
          </w:p>
        </w:tc>
        <w:tc>
          <w:tcPr>
            <w:tcW w:type="dxa" w:w="5046"/>
          </w:tcPr>
          <w:p>
            <w:pPr>
              <w:spacing w:before="20" w:after="20"/>
            </w:pPr>
            <w:r/>
            <w:r>
              <w:rPr>
                <w:rFonts w:ascii="Verdana" w:hAnsi="Verdana"/>
                <w:b w:val="0"/>
                <w:sz w:val="16"/>
              </w:rPr>
              <w:t>Givre mou</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w:t>
            </w:r>
          </w:p>
        </w:tc>
        <w:tc>
          <w:tcPr>
            <w:tcW w:type="dxa" w:w="5046"/>
          </w:tcPr>
          <w:p>
            <w:pPr>
              <w:spacing w:before="20" w:after="20"/>
            </w:pPr>
            <w:r/>
            <w:r>
              <w:rPr>
                <w:rFonts w:ascii="Verdana" w:hAnsi="Verdana"/>
                <w:b w:val="0"/>
                <w:sz w:val="16"/>
              </w:rPr>
              <w:t>Givre dur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19</w:t>
            </w:r>
          </w:p>
        </w:tc>
        <w:tc>
          <w:tcPr>
            <w:tcW w:type="dxa" w:w="5046"/>
          </w:tcPr>
          <w:p>
            <w:pPr>
              <w:spacing w:before="20" w:after="20"/>
            </w:pPr>
            <w:r/>
            <w:r>
              <w:rPr>
                <w:rFonts w:ascii="Verdana" w:hAnsi="Verdana"/>
                <w:b w:val="0"/>
                <w:sz w:val="16"/>
              </w:rPr>
              <w:t>Givre transparent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20</w:t>
            </w:r>
          </w:p>
        </w:tc>
        <w:tc>
          <w:tcPr>
            <w:tcW w:type="dxa" w:w="5046"/>
          </w:tcPr>
          <w:p>
            <w:pPr>
              <w:spacing w:before="20" w:after="20"/>
            </w:pPr>
            <w:r/>
            <w:r>
              <w:rPr>
                <w:rFonts w:ascii="Verdana" w:hAnsi="Verdana"/>
                <w:b w:val="0"/>
                <w:sz w:val="16"/>
              </w:rPr>
              <w:t>Neige mouillée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w:t>
            </w:r>
          </w:p>
        </w:tc>
        <w:tc>
          <w:tcPr>
            <w:tcW w:type="dxa" w:w="5046"/>
          </w:tcPr>
          <w:p>
            <w:pPr>
              <w:spacing w:before="20" w:after="20"/>
            </w:pPr>
            <w:r/>
            <w:r>
              <w:rPr>
                <w:rFonts w:ascii="Verdana" w:hAnsi="Verdana"/>
                <w:b w:val="0"/>
                <w:sz w:val="16"/>
              </w:rPr>
              <w:t>Gelée blanche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22</w:t>
            </w:r>
          </w:p>
        </w:tc>
        <w:tc>
          <w:tcPr>
            <w:tcW w:type="dxa" w:w="5046"/>
          </w:tcPr>
          <w:p>
            <w:pPr>
              <w:spacing w:before="20" w:after="20"/>
            </w:pPr>
            <w:r/>
            <w:r>
              <w:rPr>
                <w:rFonts w:ascii="Verdana" w:hAnsi="Verdana"/>
                <w:b w:val="0"/>
                <w:sz w:val="16"/>
              </w:rPr>
              <w:t>Rosée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23</w:t>
            </w:r>
          </w:p>
        </w:tc>
        <w:tc>
          <w:tcPr>
            <w:tcW w:type="dxa" w:w="5046"/>
          </w:tcPr>
          <w:p>
            <w:pPr>
              <w:spacing w:before="20" w:after="20"/>
            </w:pPr>
            <w:r/>
            <w:r>
              <w:rPr>
                <w:rFonts w:ascii="Verdana" w:hAnsi="Verdana"/>
                <w:b w:val="0"/>
                <w:sz w:val="16"/>
              </w:rPr>
              <w:t>Rosée blanche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24</w:t>
            </w:r>
          </w:p>
        </w:tc>
        <w:tc>
          <w:tcPr>
            <w:tcW w:type="dxa" w:w="5046"/>
          </w:tcPr>
          <w:p>
            <w:pPr>
              <w:spacing w:before="20" w:after="20"/>
            </w:pPr>
            <w:r/>
            <w:r>
              <w:rPr>
                <w:rFonts w:ascii="Verdana" w:hAnsi="Verdana"/>
                <w:b w:val="0"/>
                <w:sz w:val="16"/>
              </w:rPr>
              <w:t>Précipitations convectives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25-29</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30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02 187  Détection d'autres phénomènes météorologiques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Tourbillon de poussière/de 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Grains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Tempête de 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Tempête de poussière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w:t>
            </w:r>
          </w:p>
        </w:tc>
        <w:tc>
          <w:tcPr>
            <w:tcW w:type="dxa" w:w="5046"/>
          </w:tcPr>
          <w:p>
            <w:pPr>
              <w:spacing w:before="20" w:after="20"/>
            </w:pPr>
            <w:r/>
            <w:r>
              <w:rPr>
                <w:rFonts w:ascii="Verdana" w:hAnsi="Verdana"/>
                <w:b w:val="0"/>
                <w:sz w:val="16"/>
              </w:rPr>
              <w:t>Foudre - nuage à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6</w:t>
            </w:r>
          </w:p>
        </w:tc>
        <w:tc>
          <w:tcPr>
            <w:tcW w:type="dxa" w:w="5046"/>
          </w:tcPr>
          <w:p>
            <w:pPr>
              <w:spacing w:before="20" w:after="20"/>
            </w:pPr>
            <w:r/>
            <w:r>
              <w:rPr>
                <w:rFonts w:ascii="Verdana" w:hAnsi="Verdana"/>
                <w:b w:val="0"/>
                <w:sz w:val="16"/>
              </w:rPr>
              <w:t>Foudre - nuage à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Foudre - distante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Orage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Nuage en entonnoir ne touchant pas la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Nuage en entonnoir touchant la surface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Embruns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12-17</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18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02 188  Détection d'un obscurcissement</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Brouillard</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Brouillard glacé</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Brouillard d'évaporation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4-6</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7</w:t>
            </w:r>
          </w:p>
        </w:tc>
        <w:tc>
          <w:tcPr>
            <w:tcW w:type="dxa" w:w="5046"/>
          </w:tcPr>
          <w:p>
            <w:pPr>
              <w:spacing w:before="20" w:after="20"/>
            </w:pPr>
            <w:r/>
            <w:r>
              <w:rPr>
                <w:rFonts w:ascii="Verdana" w:hAnsi="Verdana"/>
                <w:b w:val="0"/>
                <w:sz w:val="16"/>
              </w:rPr>
              <w:t>Brume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8</w:t>
            </w:r>
          </w:p>
        </w:tc>
        <w:tc>
          <w:tcPr>
            <w:tcW w:type="dxa" w:w="5046"/>
          </w:tcPr>
          <w:p>
            <w:pPr>
              <w:spacing w:before="20" w:after="20"/>
            </w:pPr>
            <w:r/>
            <w:r>
              <w:rPr>
                <w:rFonts w:ascii="Verdana" w:hAnsi="Verdana"/>
                <w:b w:val="0"/>
                <w:sz w:val="16"/>
              </w:rPr>
              <w:t>Brume sèche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9</w:t>
            </w:r>
          </w:p>
        </w:tc>
        <w:tc>
          <w:tcPr>
            <w:tcW w:type="dxa" w:w="5046"/>
          </w:tcPr>
          <w:p>
            <w:pPr>
              <w:spacing w:before="20" w:after="20"/>
            </w:pPr>
            <w:r/>
            <w:r>
              <w:rPr>
                <w:rFonts w:ascii="Verdana" w:hAnsi="Verdana"/>
                <w:b w:val="0"/>
                <w:sz w:val="16"/>
              </w:rPr>
              <w:t>Fumée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10</w:t>
            </w:r>
          </w:p>
        </w:tc>
        <w:tc>
          <w:tcPr>
            <w:tcW w:type="dxa" w:w="5046"/>
          </w:tcPr>
          <w:p>
            <w:pPr>
              <w:spacing w:before="20" w:after="20"/>
            </w:pPr>
            <w:r/>
            <w:r>
              <w:rPr>
                <w:rFonts w:ascii="Verdana" w:hAnsi="Verdana"/>
                <w:b w:val="0"/>
                <w:sz w:val="16"/>
              </w:rPr>
              <w:t>Cendre volcanique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11</w:t>
            </w:r>
          </w:p>
        </w:tc>
        <w:tc>
          <w:tcPr>
            <w:tcW w:type="dxa" w:w="5046"/>
          </w:tcPr>
          <w:p>
            <w:pPr>
              <w:spacing w:before="20" w:after="20"/>
            </w:pPr>
            <w:r/>
            <w:r>
              <w:rPr>
                <w:rFonts w:ascii="Verdana" w:hAnsi="Verdana"/>
                <w:b w:val="0"/>
                <w:sz w:val="16"/>
              </w:rPr>
              <w:t>Poussière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w:t>
            </w:r>
          </w:p>
        </w:tc>
        <w:tc>
          <w:tcPr>
            <w:tcW w:type="dxa" w:w="5046"/>
          </w:tcPr>
          <w:p>
            <w:pPr>
              <w:spacing w:before="20" w:after="20"/>
            </w:pPr>
            <w:r/>
            <w:r>
              <w:rPr>
                <w:rFonts w:ascii="Verdana" w:hAnsi="Verdana"/>
                <w:b w:val="0"/>
                <w:sz w:val="16"/>
              </w:rPr>
              <w:t>Sable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13</w:t>
            </w:r>
          </w:p>
        </w:tc>
        <w:tc>
          <w:tcPr>
            <w:tcW w:type="dxa" w:w="5046"/>
          </w:tcPr>
          <w:p>
            <w:pPr>
              <w:spacing w:before="20" w:after="20"/>
            </w:pPr>
            <w:r/>
            <w:r>
              <w:rPr>
                <w:rFonts w:ascii="Verdana" w:hAnsi="Verdana"/>
                <w:b w:val="0"/>
                <w:sz w:val="16"/>
              </w:rPr>
              <w:t>Neige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14-20</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21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02 189  Distinction entre les différents types d'éclairs</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Observation manuelle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Tous les éclairs sans différenciation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w:t>
            </w:r>
          </w:p>
        </w:tc>
        <w:tc>
          <w:tcPr>
            <w:tcW w:type="dxa" w:w="5046"/>
          </w:tcPr>
          <w:p>
            <w:pPr>
              <w:spacing w:before="20" w:after="20"/>
            </w:pPr>
            <w:r/>
            <w:r>
              <w:rPr>
                <w:rFonts w:ascii="Verdana" w:hAnsi="Verdana"/>
                <w:b w:val="0"/>
                <w:sz w:val="16"/>
              </w:rPr>
              <w:t>Éclairs de nuage à surface seulement</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4</w:t>
            </w:r>
          </w:p>
        </w:tc>
        <w:tc>
          <w:tcPr>
            <w:tcW w:type="dxa" w:w="5046"/>
          </w:tcPr>
          <w:p>
            <w:pPr>
              <w:spacing w:before="20" w:after="20"/>
            </w:pPr>
            <w:r/>
            <w:r>
              <w:rPr>
                <w:rFonts w:ascii="Verdana" w:hAnsi="Verdana"/>
                <w:b w:val="0"/>
                <w:sz w:val="16"/>
              </w:rPr>
              <w:t>Tous les éclairs avec une différenciation entre nuage à surface et nuage à nuage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5-11</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12 bits mis à 1</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r>
        <w:rPr>
          <w:rFonts w:ascii="Verdana" w:hAnsi="Verdana"/>
          <w:b/>
          <w:sz w:val="18"/>
        </w:rPr>
        <w:t>0 02 191  Calcul de la hauteur géopotentielle</w:t>
      </w:r>
    </w:p>
    <w:tbl>
      <w:tblPr>
        <w:tblStyle w:val="TableGrid"/>
        <w:tblW w:type="auto" w:w="0"/>
        <w:jc w:val="center"/>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5046"/>
        <w:gridCol w:w="5046"/>
        <w:gridCol w:w="5046"/>
      </w:tblGrid>
      <w:tr>
        <w:tc>
          <w:tcPr>
            <w:tcW w:type="dxa" w:w="1134"/>
            <w:shd w:val="clear" w:color="auto" w:fill="D9D9D9"/>
          </w:tcPr>
          <w:p>
            <w:pPr>
              <w:spacing w:before="20" w:after="20"/>
            </w:pPr>
            <w:r/>
            <w:r>
              <w:rPr>
                <w:rFonts w:ascii="Verdana" w:hAnsi="Verdana"/>
                <w:b w:val="0"/>
                <w:sz w:val="16"/>
              </w:rPr>
              <w:t>CHIFFRE DU CODE</w:t>
            </w:r>
          </w:p>
        </w:tc>
        <w:tc>
          <w:tcPr>
            <w:tcW w:type="dxa" w:w="5046"/>
            <w:shd w:val="clear" w:color="auto" w:fill="D9D9D9"/>
          </w:tcPr>
          <w:p>
            <w:pPr>
              <w:spacing w:before="20" w:after="20"/>
            </w:pPr>
            <w:r/>
            <w:r>
              <w:rPr>
                <w:rFonts w:ascii="Verdana" w:hAnsi="Verdana"/>
                <w:b w:val="0"/>
                <w:sz w:val="16"/>
              </w:rPr>
              <w:t>SIGNIFICATION</w:t>
            </w:r>
          </w:p>
        </w:tc>
        <w:tc>
          <w:tcPr>
            <w:tcW w:type="dxa" w:w="5046"/>
            <w:shd w:val="clear" w:color="auto" w:fill="D9D9D9"/>
          </w:tcPr>
          <w:p>
            <w:pPr>
              <w:spacing w:before="20" w:after="20"/>
            </w:pPr>
            <w:r/>
            <w:r>
              <w:rPr>
                <w:rFonts w:ascii="Verdana" w:hAnsi="Verdana"/>
                <w:b w:val="0"/>
                <w:sz w:val="16"/>
              </w:rPr>
              <w:t>NOTE</w:t>
            </w:r>
          </w:p>
        </w:tc>
      </w:tr>
      <w:tr>
        <w:trPr>
          <w:cantSplit/>
        </w:trPr>
        <w:tc>
          <w:tcPr>
            <w:tcW w:type="dxa" w:w="5046"/>
          </w:tcPr>
          <w:p>
            <w:pPr>
              <w:spacing w:before="20" w:after="20"/>
            </w:pPr>
            <w:r/>
            <w:r>
              <w:rPr>
                <w:rFonts w:ascii="Verdana" w:hAnsi="Verdana"/>
                <w:b w:val="0"/>
                <w:sz w:val="16"/>
              </w:rPr>
              <w:t>0</w:t>
            </w:r>
          </w:p>
        </w:tc>
        <w:tc>
          <w:tcPr>
            <w:tcW w:type="dxa" w:w="5046"/>
          </w:tcPr>
          <w:p>
            <w:pPr>
              <w:spacing w:before="20" w:after="20"/>
            </w:pPr>
            <w:r/>
            <w:r>
              <w:rPr>
                <w:rFonts w:ascii="Verdana" w:hAnsi="Verdana"/>
                <w:b w:val="0"/>
                <w:sz w:val="16"/>
              </w:rPr>
              <w:t>Altitude géopotentielle, basée sur la pression</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w:t>
            </w:r>
          </w:p>
        </w:tc>
        <w:tc>
          <w:tcPr>
            <w:tcW w:type="dxa" w:w="5046"/>
          </w:tcPr>
          <w:p>
            <w:pPr>
              <w:spacing w:before="20" w:after="20"/>
            </w:pPr>
            <w:r/>
            <w:r>
              <w:rPr>
                <w:rFonts w:ascii="Verdana" w:hAnsi="Verdana"/>
                <w:b w:val="0"/>
                <w:sz w:val="16"/>
              </w:rPr>
              <w:t>Altitude géopotentielle, basée sur l'altitude GPS</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2</w:t>
            </w:r>
          </w:p>
        </w:tc>
        <w:tc>
          <w:tcPr>
            <w:tcW w:type="dxa" w:w="5046"/>
          </w:tcPr>
          <w:p>
            <w:pPr>
              <w:spacing w:before="20" w:after="20"/>
            </w:pPr>
            <w:r/>
            <w:r>
              <w:rPr>
                <w:rFonts w:ascii="Verdana" w:hAnsi="Verdana"/>
                <w:b w:val="0"/>
                <w:sz w:val="16"/>
              </w:rPr>
              <w:t>Altitude géopotentielle, basée sur l'altitude radar</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3-14</w:t>
            </w:r>
          </w:p>
        </w:tc>
        <w:tc>
          <w:tcPr>
            <w:tcW w:type="dxa" w:w="5046"/>
          </w:tcPr>
          <w:p>
            <w:pPr>
              <w:spacing w:before="20" w:after="20"/>
            </w:pPr>
            <w:r/>
            <w:r>
              <w:rPr>
                <w:rFonts w:ascii="Verdana" w:hAnsi="Verdana"/>
                <w:b w:val="0"/>
                <w:sz w:val="16"/>
              </w:rPr>
              <w:t>En réserve</w:t>
            </w:r>
          </w:p>
        </w:tc>
        <w:tc>
          <w:tcPr>
            <w:tcW w:type="dxa" w:w="5046"/>
          </w:tcPr>
          <w:p>
            <w:pPr>
              <w:spacing w:before="20" w:after="20"/>
            </w:pPr>
            <w:r/>
            <w:r>
              <w:rPr>
                <w:rFonts w:ascii="Verdana" w:hAnsi="Verdana"/>
                <w:b w:val="0"/>
                <w:sz w:val="16"/>
              </w:rPr>
            </w:r>
          </w:p>
        </w:tc>
      </w:tr>
      <w:tr>
        <w:trPr>
          <w:cantSplit/>
        </w:trPr>
        <w:tc>
          <w:tcPr>
            <w:tcW w:type="dxa" w:w="5046"/>
          </w:tcPr>
          <w:p>
            <w:pPr>
              <w:spacing w:before="20" w:after="20"/>
            </w:pPr>
            <w:r/>
            <w:r>
              <w:rPr>
                <w:rFonts w:ascii="Verdana" w:hAnsi="Verdana"/>
                <w:b w:val="0"/>
                <w:sz w:val="16"/>
              </w:rPr>
              <w:t>15</w:t>
            </w:r>
          </w:p>
        </w:tc>
        <w:tc>
          <w:tcPr>
            <w:tcW w:type="dxa" w:w="5046"/>
          </w:tcPr>
          <w:p>
            <w:pPr>
              <w:spacing w:before="20" w:after="20"/>
            </w:pPr>
            <w:r/>
            <w:r>
              <w:rPr>
                <w:rFonts w:ascii="Verdana" w:hAnsi="Verdana"/>
                <w:b w:val="0"/>
                <w:sz w:val="16"/>
              </w:rPr>
              <w:t>Valeur manquante</w:t>
            </w:r>
          </w:p>
        </w:tc>
        <w:tc>
          <w:tcPr>
            <w:tcW w:type="dxa" w:w="5046"/>
          </w:tcPr>
          <w:p>
            <w:pPr>
              <w:spacing w:before="20" w:after="20"/>
            </w:pPr>
            <w:r/>
            <w:r>
              <w:rPr>
                <w:rFonts w:ascii="Verdana" w:hAnsi="Verdana"/>
                <w:b w:val="0"/>
                <w:sz w:val="16"/>
              </w:rPr>
            </w:r>
          </w:p>
        </w:tc>
      </w:tr>
    </w:tbl>
    <w:p/>
    <w:p/>
    <w:p>
      <w:r>
        <w:rPr>
          <w:rFonts w:ascii="Verdana" w:hAnsi="Verdana"/>
          <w:i/>
          <w:sz w:val="14"/>
        </w:rPr>
        <w:t>Note 2: (voir Note 1) 1) Pour l’emploi du chiffre du code 15, voir la règle 12.1.4. 2) «Clair» et «couvert» portent les chiffres 0 et 8 respectivement.</w:t>
      </w:r>
    </w:p>
    <w:p>
      <w:r>
        <w:rPr>
          <w:rFonts w:ascii="Verdana" w:hAnsi="Verdana"/>
          <w:i/>
          <w:sz w:val="14"/>
        </w:rPr>
        <w:t>Note 5: (0 = bonne; 1 = mauvaise)</w:t>
      </w:r>
    </w:p>
    <w:p>
      <w:r>
        <w:rPr>
          <w:rFonts w:ascii="Verdana" w:hAnsi="Verdana"/>
          <w:i/>
          <w:sz w:val="14"/>
        </w:rPr>
        <w:t>Note 6: (Voir la table de code commune C-1 dans la Partie C/c.)</w:t>
      </w:r>
    </w:p>
    <w:p>
      <w:r>
        <w:rPr>
          <w:rFonts w:ascii="Verdana" w:hAnsi="Verdana"/>
          <w:i/>
          <w:sz w:val="14"/>
        </w:rPr>
        <w:t>Note 7: (Voir la table de code commune C-2 dans la Partie C/c.)</w:t>
      </w:r>
    </w:p>
    <w:p>
      <w:r>
        <w:rPr>
          <w:rFonts w:ascii="Verdana" w:hAnsi="Verdana"/>
          <w:i/>
          <w:sz w:val="14"/>
        </w:rPr>
        <w:t>Note 8: (Voir la table de code commune C-3)</w:t>
      </w:r>
    </w:p>
    <w:p>
      <w:r>
        <w:rPr>
          <w:rFonts w:ascii="Verdana" w:hAnsi="Verdana"/>
          <w:i/>
          <w:sz w:val="14"/>
        </w:rPr>
        <w:t>Note 9: (Voir la table de code commune C-4)</w:t>
      </w:r>
    </w:p>
    <w:p>
      <w:r>
        <w:rPr>
          <w:rFonts w:ascii="Verdana" w:hAnsi="Verdana"/>
          <w:i/>
          <w:sz w:val="14"/>
        </w:rPr>
        <w:t>Note 10: (Voir la table de code commune C-5 dans la Partie C/c.)</w:t>
      </w:r>
    </w:p>
    <w:p>
      <w:r>
        <w:rPr>
          <w:rFonts w:ascii="Verdana" w:hAnsi="Verdana"/>
          <w:i/>
          <w:sz w:val="14"/>
        </w:rPr>
        <w:t>Note 11: (Voir la table de code commune C-7 dans la Partie C/c.)</w:t>
      </w:r>
    </w:p>
    <w:p>
      <w:r>
        <w:rPr>
          <w:rFonts w:ascii="Verdana" w:hAnsi="Verdana"/>
          <w:i/>
          <w:sz w:val="14"/>
        </w:rPr>
        <w:t>Note 12: (Voir la table de code commune C-8 dans la Partie C/c.)</w:t>
      </w:r>
    </w:p>
    <w:p>
      <w:r>
        <w:rPr>
          <w:rFonts w:ascii="Verdana" w:hAnsi="Verdana"/>
          <w:i/>
          <w:sz w:val="14"/>
        </w:rPr>
        <w:t>Note 13: (See Common Code table C-14 Part C/c.)</w:t>
      </w:r>
    </w:p>
    <w:p>
      <w:r>
        <w:rPr>
          <w:rFonts w:ascii="Verdana" w:hAnsi="Verdana"/>
          <w:i/>
          <w:sz w:val="14"/>
        </w:rPr>
        <w:t>Note 14: (A definir par les centres proprement dits - Voir la table de code commune C-12 dans la Partie C/c.)</w:t>
      </w:r>
    </w:p>
    <w:p>
      <w:r>
        <w:rPr>
          <w:rFonts w:ascii="Verdana" w:hAnsi="Verdana"/>
          <w:i/>
          <w:sz w:val="14"/>
        </w:rPr>
        <w:t>Note 15: (A etablir)</w:t>
      </w:r>
    </w:p>
    <w:p>
      <w:r>
        <w:rPr>
          <w:rFonts w:ascii="Verdana" w:hAnsi="Verdana"/>
          <w:i/>
          <w:sz w:val="14"/>
        </w:rPr>
        <w:t>Note 16: Une séquence d’au moins deux paires de coordonnées de position, telles que latitude et longitude, définit une ligne ou un polygone. Les points sont reliés dans l’ordre indiqué dans le message. Toute zone décrite se situera à gauche de la ligne dessinée dans le sens indiqué. Cette définition s’applique à des polygones simples, non intersectants et sans trou.</w:t>
      </w:r>
    </w:p>
    <w:p>
      <w:r>
        <w:rPr>
          <w:rFonts w:ascii="Verdana" w:hAnsi="Verdana"/>
          <w:i/>
          <w:sz w:val="14"/>
        </w:rPr>
        <w:t>Note 17: Si tous les bits sont mis à 0, cela signifie que l’étalonnage est correct.</w:t>
      </w:r>
    </w:p>
    <w:p>
      <w:r>
        <w:rPr>
          <w:rFonts w:ascii="Verdana" w:hAnsi="Verdana"/>
          <w:i/>
          <w:sz w:val="14"/>
        </w:rPr>
        <w:t>Note 18: Toutes les statistiques de premier ordre sont exprimees dans les unites definies par les descripteurs de donnees d'origine.</w:t>
      </w:r>
    </w:p>
    <w:p>
      <w:r>
        <w:rPr>
          <w:rFonts w:ascii="Verdana" w:hAnsi="Verdana"/>
          <w:i/>
          <w:sz w:val="14"/>
        </w:rPr>
        <w:t>Note 19: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21: En commençant par la position du premier bit (bit de plus fort poids), si le bit est mis à 1, le canal est utilisé. Si le bit est mis à zéro, le canal n’est pas utilisé.</w:t>
      </w:r>
    </w:p>
    <w:p>
      <w:r>
        <w:rPr>
          <w:rFonts w:ascii="Verdana" w:hAnsi="Verdana"/>
          <w:i/>
          <w:sz w:val="14"/>
        </w:rPr>
        <w:t>Note 22: L'expression 'mesure ciel couvert' indique que les valeurs de sondage sont obtenues uniquement a partir de donnees HIRS stratospheriques, de donnees MSU et de donnees SSU. Le ciel etant couvert, on n'a pas utilise de donnees HIRS tropospheriques.</w:t>
      </w:r>
    </w:p>
    <w:p>
      <w:r>
        <w:rPr>
          <w:rFonts w:ascii="Verdana" w:hAnsi="Verdana"/>
          <w:i/>
          <w:sz w:val="14"/>
        </w:rPr>
        <w:t>Note 23: HIRS* signifie: canaux HIRS 1 (669 cm–1) 2 (679 cm–1) 3 (690 cm–1) 4 (2358 cm–1)</w:t>
      </w:r>
    </w:p>
    <w:p>
      <w:r>
        <w:rPr>
          <w:rFonts w:ascii="Verdana" w:hAnsi="Verdana"/>
          <w:i/>
          <w:sz w:val="14"/>
        </w:rPr>
        <w:t>Note 24: Bits 1 a 4: INDICATIF DE DEFAUT DE L'HEURE. Lorsque tous les bits sont mis a 0, cela signifie que l'heure de balayage correspond a l'heure prevue.</w:t>
      </w:r>
    </w:p>
    <w:p>
      <w:r>
        <w:rPr>
          <w:rFonts w:ascii="Verdana" w:hAnsi="Verdana"/>
          <w:i/>
          <w:sz w:val="14"/>
        </w:rPr>
        <w:t>Note 25: Bits 11 a 17: INDICATIF DE DEFAUT DE LOCALISATION GEOGRAPHIQUE. Lorsque tous les bits sont mis a 0, cela signifie que la localisation geographique est normale.</w:t>
      </w:r>
    </w:p>
    <w:p>
      <w:r>
        <w:rPr>
          <w:rFonts w:ascii="Verdana" w:hAnsi="Verdana"/>
          <w:i/>
          <w:sz w:val="14"/>
        </w:rPr>
        <w:t>Note 27: Bits 5 a 10: INDICATIF DE DEFAUT D'ETALONNAGE. Lorsque tous les bits sont mis a 0, cela signifie que l'etalonnage est normal. Lorsque l'un ou l'autre des bits 5, 7 et 10 est mis a 1, cela signifie que des coefficients secondaires d'etalonnage ont ete utilises.</w:t>
      </w:r>
    </w:p>
    <w:p>
      <w:r>
        <w:rPr>
          <w:rFonts w:ascii="Verdana" w:hAnsi="Verdana"/>
          <w:i/>
          <w:sz w:val="14"/>
        </w:rPr>
        <w:t>Note 32: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33: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35: Le descripteur 0 25 009 est caduc; le remplacer par le descripteur 0 25 029.</w:t>
      </w:r>
    </w:p>
    <w:p>
      <w:r>
        <w:rPr>
          <w:rFonts w:ascii="Verdana" w:hAnsi="Verdana"/>
          <w:i/>
          <w:sz w:val="14"/>
        </w:rPr>
        <w:t>Note 36: Les statistiques sur les differences sont des valeurs differentielles ayant des dimensions similaires a celles des valeurs observees correspondantes en ce qui concerne les unites, mais dont les limites sont centrees sur le zero.</w:t>
      </w:r>
    </w:p>
    <w:p>
      <w:r>
        <w:rPr>
          <w:rFonts w:ascii="Verdana" w:hAnsi="Verdana"/>
          <w:i/>
          <w:sz w:val="14"/>
        </w:rPr>
        <w:t>Note 39: 1) L’EPSG est un jeu de données sur les systèmes de coordonnées et les transformations qu’ils subissent, constitué et tenu à jour à l’origine par l’ European Petroleum Survey Group l’Association internationale des producteurs de pétrole et de gaz qui s’en occupe, par le biais du sous-comité à la géodésie relevant de son Comité de géomatique. 2) Lorsque le chiffre du code 4 est utilisé pour préciser un système de coordonnées de référence, la donnée ellipsoïdale est alors un ellipsoïde de révolution aplati, dont le grand axe s’oriente dans le même plan que le plan équatorial et le petit axe coupe le méridien d’origine près du pôle d’origine. Le Nord correspond à la direction de l’équateur au pôle d’origine. L’Est correspond au sens inverse des aiguilles d’une montre à partir du méridien d’origine vu depuis le pôle Nord. Dans ce cas, il faut préciser le demi-grand axe et le demi-petit axe (en se servant par exemple des descripteurs 0 01 152 et 0 01 153).</w:t>
      </w:r>
    </w:p>
    <w:p>
      <w:r>
        <w:rPr>
          <w:rFonts w:ascii="Verdana" w:hAnsi="Verdana"/>
          <w:i/>
          <w:sz w:val="14"/>
        </w:rPr>
        <w:t>Note 42: 1) La signification du champ associé correspond, au début, à la qualité des données observées. 2) Le chiffre du code 21 peut être utilisé dans des messages corrigés où les valeurs substituées/corrigées sont déterminées. 3) D’autres applications peuvent être prévues.</w:t>
      </w:r>
    </w:p>
    <w:p>
      <w:r>
        <w:rPr>
          <w:rFonts w:ascii="Verdana" w:hAnsi="Verdana"/>
          <w:i/>
          <w:sz w:val="14"/>
        </w:rPr>
        <w:t>Note 43: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45: 1) Chiffres du code 1 à 9:  durée et heure de la mesure du courant (méthode vectorielle ou méthode Doppler d’établissement du profil du courant). 2) Chiffres du code 11 à 19:  période de la mesure du courant (méthode de la dérive). 3) H = heure d’observation.</w:t>
      </w:r>
    </w:p>
    <w:p>
      <w:r>
        <w:rPr>
          <w:rFonts w:ascii="Verdana" w:hAnsi="Verdana"/>
          <w:i/>
          <w:sz w:val="14"/>
        </w:rPr>
        <w:t>Note 49: Si le bit est mis à 1, l’indication est valable.</w:t>
      </w:r>
    </w:p>
    <w:p>
      <w:r>
        <w:rPr>
          <w:rFonts w:ascii="Verdana" w:hAnsi="Verdana"/>
          <w:i/>
          <w:sz w:val="14"/>
        </w:rPr>
        <w:t>Note 50: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52: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53: 1) Dans les messages d'observation en provenance de stations météorologiques automatiques, on utilise le chiffre du code 2 si la tendance est à la hausse, 7 si la tendance est à la baisse, et 4 si la pression atmosphérique est la même que trois heures auparavant. 2) Dans les messages provenant de stations tropicales qui communiquent des données concernant les changements de pression sur 24 heures, le chiffre du code 2 indique que la tendance est positive, le chiffre 7 qu'elle est négative, et le chiffre 4 que la pression est la même que 24 heures auparavant.</w:t>
      </w:r>
    </w:p>
    <w:p>
      <w:r>
        <w:rPr>
          <w:rFonts w:ascii="Verdana" w:hAnsi="Verdana"/>
          <w:i/>
          <w:sz w:val="14"/>
        </w:rPr>
        <w:t>Note 54: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57: Le mélange de précipitation est indiqué en mettant à 1 les bits de tous les types de précipitation observés.</w:t>
      </w:r>
    </w:p>
    <w:p>
      <w:r>
        <w:rPr>
          <w:rFonts w:ascii="Verdana" w:hAnsi="Verdana"/>
          <w:i/>
          <w:sz w:val="14"/>
        </w:rPr>
        <w:t>Note 59: D’autres appellations locales utilisées pour des orages de diverses intensités sont ajoutées selon les besoins.</w:t>
      </w:r>
    </w:p>
    <w:p>
      <w:r>
        <w:rPr>
          <w:rFonts w:ascii="Verdana" w:hAnsi="Verdana"/>
          <w:i/>
          <w:sz w:val="14"/>
        </w:rPr>
        <w:t>Note 60: Aucun des chiffres du code n’exclut la possibilité, laissée à la discrétion du centre de production, d’ajouter des niveaux obtenus par interpolation.</w:t>
      </w:r>
    </w:p>
    <w:p>
      <w:r>
        <w:rPr>
          <w:rFonts w:ascii="Verdana" w:hAnsi="Verdana"/>
          <w:i/>
          <w:sz w:val="14"/>
        </w:rPr>
        <w:t>Note 63: Dans cette table d'indicateurs, 'phenomene' signifie tout phenomene, y compris les precipitations et l'obscurcissement.</w:t>
      </w:r>
    </w:p>
    <w:p>
      <w:r>
        <w:rPr>
          <w:rFonts w:ascii="Verdana" w:hAnsi="Verdana"/>
          <w:i/>
          <w:sz w:val="14"/>
        </w:rPr>
        <w:t>Note 75: 1) Les définitions données pour les chiffres du code 0 à 2 et 4 s’appliquent à une superficie représentative de sol nu, et les chiffres 3, 5 à 9 et 10 à 19 à une zone dégagée représentative. 2) En toutes circonstances, on choisit le chiffre du code le plus élevé qui puisse s’appliquer. 3) Dans la table de code ci-dessus, toute référence à de la glace comprend aussi les précipitations solides autres que la neige.</w:t>
      </w:r>
    </w:p>
    <w:p>
      <w:r>
        <w:rPr>
          <w:rFonts w:ascii="Verdana" w:hAnsi="Verdana"/>
          <w:i/>
          <w:sz w:val="14"/>
        </w:rPr>
        <w:t>Note 76: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78: Les trois premiers chiffres representent le code ISO du pays.</w:t>
      </w:r>
    </w:p>
    <w:p>
      <w:r>
        <w:rPr>
          <w:rFonts w:ascii="Verdana" w:hAnsi="Verdana"/>
          <w:i/>
          <w:sz w:val="14"/>
        </w:rPr>
        <w:t>Note 79: La derniere colonne de la table indique le numero d’enregistrement correspondant emis par le Chemical Abstracts Service (CAS) de l’American Chemical Society.</w:t>
      </w:r>
    </w:p>
    <w:p>
      <w:r>
        <w:rPr>
          <w:rFonts w:ascii="Verdana" w:hAnsi="Verdana"/>
          <w:i/>
          <w:sz w:val="14"/>
        </w:rPr>
        <w:t>Note 80: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p>
      <w:r>
        <w:rPr>
          <w:rFonts w:ascii="Verdana" w:hAnsi="Verdana"/>
          <w:i/>
          <w:sz w:val="14"/>
        </w:rPr>
        <w:t>Note 81: L’échelle des valeurs nominales de l’humidité du sol en surface est comprise entre 0 et 100 %. Dans des cas extrêmes, il est possible néanmoins que la valeur extrapolée à partir de la rétrodiffusion suivant un angle d’incidence de 40 degrés soit inférieure à la valeur minimale de référence de 0 % (conditions sèches) ou supérieure à la valeur maximale de référence de 100 % (conditions humides).</w:t>
      </w:r>
    </w:p>
    <w:p>
      <w:r>
        <w:rPr>
          <w:rFonts w:ascii="Verdana" w:hAnsi="Verdana"/>
          <w:i/>
          <w:sz w:val="14"/>
        </w:rPr>
        <w:t>Note 84: 1) Ces valeurs se réfèrent à des vagues de vent bien formées en haute mer. dée aux termes descriptifs, ces valeurs relatives à la hauteur peuvent être utilisées à titre d’indication par l’observateur lorsqu’il chiffre l’état total d’agitation de la mer résultant de divers facteurs tels que le vent, la houle, les courants, l’angle entre la houle et le vent, etc. 2) Pour chiffrer une hauteur correspondant à la limite entre deux chiffres du code, prendre le chiffre du code le moins élevé; par exemple, une hauteur de 4 m est signalée à l’aide du chiffre du code 5.</w:t>
      </w:r>
    </w:p>
    <w:p>
      <w:r>
        <w:rPr>
          <w:rFonts w:ascii="Verdana" w:hAnsi="Verdana"/>
          <w:i/>
          <w:sz w:val="14"/>
        </w:rPr>
        <w:t>Note 85: Ce descripteur sera associé à des données relatives à la visibilité ou à la hauteur des nuages pour préciser si la valeur est bornée. Si la donnée transmise est la valeur vraie, le chiffre du code est 0. Toutefois, la mesure peut atteindre la limite de capacité de mesure de l’instrument. Si la valeur transmise est supérieure à la valeur vraie, le chiffre du code est 1; si la valeur transmise est inférieure à la valeur vraie, le chiffre du code est 2.</w:t>
      </w:r>
    </w:p>
    <w:p>
      <w:r>
        <w:rPr>
          <w:rFonts w:ascii="Verdana" w:hAnsi="Verdana"/>
          <w:i/>
          <w:sz w:val="14"/>
        </w:rPr>
        <w:t>Note 88: 1) L’expression «moyenne sur une certaine période» indique qu’il est établi en permanence une moyenne des valeurs sur une période donnée. 2) L’expression «moyenne d’ensemble» indique que l’on prend la moyenne d’un certain nombre de valeurs distinctes correspondant à une série de situations dans le temps. 3) Il faut préciser les périodes auxquelles correspondent les caractéristiques temporelles.</w:t>
      </w:r>
    </w:p>
    <w:p>
      <w:r>
        <w:rPr>
          <w:rFonts w:ascii="Verdana" w:hAnsi="Verdana"/>
          <w:i/>
          <w:sz w:val="14"/>
        </w:rPr>
        <w:t>Note 90: Type d'instrument et unites initiales pour la mesure du vent (en m s-1 sauf indication contraire).</w:t>
      </w:r>
    </w:p>
    <w:p>
      <w:r>
        <w:rPr>
          <w:rFonts w:ascii="Verdana" w:hAnsi="Verdana"/>
          <w:i/>
          <w:sz w:val="14"/>
        </w:rPr>
        <w:t>Note 94: Si la méthode de transmission d’origine est celle indiquée par le chiffre 1 du code, il est conseillé de faire appel à la table de conversion suivante pour obtenir une valeur correcte des données correspondant au descripteur 0 01 012: Valeur indiquée Valeur des données 0 0 1 45 2 90 3 135 4 180 5 225 6 270 7 315 8 360 9 511</w:t>
      </w:r>
    </w:p>
    <w:p>
      <w:r>
        <w:rPr>
          <w:rFonts w:ascii="Verdana" w:hAnsi="Verdana"/>
          <w:i/>
          <w:sz w:val="14"/>
        </w:rPr>
        <w:t>Note 95: Si la méthode de transmission d’origine est celle indiquée par le chiffre 1 du code, il est conseillé de faire appel à la table de conversion suivante pour obtenir une valeur correcte des données correspondant au descripteur 0 01 013: Valeur indiquée Valeur des données 0 0 1 1 2 4 3 7 4 9 5 12 6 14 7 17 8 19 9 21 / 1023</w:t>
      </w:r>
    </w:p>
    <w:p>
      <w:r>
        <w:rPr>
          <w:rFonts w:ascii="Verdana" w:hAnsi="Verdana"/>
          <w:i/>
          <w:sz w:val="14"/>
        </w:rPr>
        <w:t>Note 98: Code figures 1 - 24 are siting classifications and measurement quality classifications according to the Guide to Instruments and Methods of Observation (WMO-No. 8), Volume I, Chapter 1, Annex 1.D and Annex 1.G.</w:t>
      </w:r>
    </w:p>
    <w:p>
      <w:r>
        <w:rPr>
          <w:rFonts w:ascii="Verdana" w:hAnsi="Verdana"/>
          <w:i/>
          <w:sz w:val="14"/>
        </w:rPr>
        <w:t>Note 99: Code figures 26 - 30 are siting classifications according to the Guide to Instruments and Methods of Observation (WMO-No. 8), Volume I, Chapter 1, Annex 1.D.</w:t>
      </w:r>
    </w:p>
    <w:p>
      <w:r>
        <w:rPr>
          <w:rFonts w:ascii="Verdana" w:hAnsi="Verdana"/>
          <w:i/>
          <w:sz w:val="14"/>
        </w:rPr>
        <w:t>Note 100: Code figures 31 - 34 are measurement quality classifications according to the Guide to Instruments and Methods of Observation (WMO-No. 8), Volume I, Chapter 1, Annex 1.G.</w:t>
      </w:r>
    </w:p>
    <w:p>
      <w:r>
        <w:rPr>
          <w:rFonts w:ascii="Verdana" w:hAnsi="Verdana"/>
          <w:i/>
          <w:sz w:val="14"/>
        </w:rPr>
        <w:t>Note 101: Annex 1.G is a new annex that will be part of an updated version of WMO-No. 8 to be published in mid-2022.</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