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08</w:t>
      </w:r>
    </w:p>
    <w:p>
      <w:r>
        <w:rPr>
          <w:rFonts w:ascii="Verdana" w:hAnsi="Verdana"/>
          <w:b/>
          <w:sz w:val="18"/>
        </w:rPr>
        <w:t>0 08 001  Caractéristique correspondant à des données de sondage vertical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Niveau standard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Niveau de la tropopause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Niveau du vent maximal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Niveau significatif, température et/ou humidité relative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Niveau significatif,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08 002  Caractéristique verticale (observations en surface)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Les règles d'observation pour la base du nuage le plus bas et les types de nuages de FM 12 SYNOP et FM 13 SHIP s'appliquent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Première couche de nuages significatifs (autres que cumulonimbus)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Deuxième couche de nuages significatifs (autres que cumulonimbus)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Troisième couche de nuages significatifs (autres que cumulonimbus)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Couche de cumulonimbus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Plafond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Nuages non détectés en dessous de l'(des) altitude(s) suivante(s)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Nuages de l'étage inférieur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Nuages de l'étage moyen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Nuages de l'étage supérieur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Couche de nuages dont la base est en dessous de la station et le sommet au-dessus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Couche de nuages dont la base et le sommet sont en dessous du niveau de la station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12-19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Aucun nuage détecté par le système de détection des nuages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Première couche de nuages détectée par un instrument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Deuxième couche de nuages détectée par un instrument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Troisième couche de nuages détectée par un instrument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Quatrième couche de nuages détectée par un instrument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25-61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Valeur ne s'appliquant pas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08 003  Caractéristique verticale (observations par satellite)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Base du sondage par satellite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Sommet des nuages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Tropopause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Eau précipitable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Luminance énergétique observée par sondage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Températures moyennes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Ozone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Nuages de l'étage inférieur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Nuages de l'étage moyen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Nuages de l'étage supérieur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11-62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08 004  Phase de vol de l'aéronef</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Non stable (UNS)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Niveau de vol, observation régulière (LVR)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Niveau de vol, vent maximal rencontré (LVW)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Phase ascendante (ASC)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Phase descendante (DES)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08 005  Signification de la caractéristique météorologique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Centre de la tempête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Limite extérieure ou bord de la tempête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Emplacement du vent maximal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Localisation de la tempête dans l'analyse perturbée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Localisation de la tempête dans l'analyse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08 006  Caractéristique du sondage vertical de l'ozone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En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Niveau normalisé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Niveau de la tropopause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Niveau maximal marquant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Niveau minimal marquant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Niveau de pression minimal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Niveau de signification indéterminée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08 007  Caractéristiques dimensionnelles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Point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Ligne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Zone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Volume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08 008  Caractéristique correspondant à des données de sondage du rayonnement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Niveau normalisé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Niveau de la tropopause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Niveau de rayonnement bêta maximal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Niveau de rayonnement gamma maximal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Niveau de pression minimal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Niveau de signification indéterminée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08 009  Phase de vol détaillée de l'aéronef</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Vol en palier, observation régulière, régime non stabilisé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Vol en palier, vent maximal rencontré, régime non stabilisé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Régime non stabilisé (UNS)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Vol en palier, observation régulière (LVR)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Vol en palier, vent maximal rencontré (LVW)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Phase ascendante (ASC)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Phase descendante (DES)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Phase ascendante, intervalles d'observation déterminés suivant un incrément de temps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Phase ascendante, intervalles d'observation déterminés suivant un incrément de temps, régime non stabilisé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Phase ascendante, intervalles d'observation déterminés suivant un incrément de niveau de pression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Phase ascendante, intervalles d'observation déterminés suivant un incrément de niveau de pression, régime non stabilisé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Phase descendante, intervalles d'observation déterminés suivant un incrément de temps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Phase descendante, intervalles d'observation déterminés suivant un incrément de temps, régime non stabilisé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Phase descendante, intervalles d'observation déterminés suivant un incrément de niveau de pression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Phase descendante, intervalles d'observation déterminés suivant un incrément de niveau de pression, régime non stabilisé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08 010  Caractéristique de la surface (données de température)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Sol dénudé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Roche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Herbe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Eau (lac, 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Eau d'inondation sous le capteur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Neige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Piste d'aérodrome ou route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Pont en acier de navire ou de plate-forme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Pont en bois de navire ou de plate-forme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Pont de navire ou de plate-forme en partie recouvert de tapis de caoutchouc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Toit de bâtiment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08 011  Caractéristique météorologique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Front quasi stationnaire en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Front quasi stationnaire en altitude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Front chaud en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Front chaud en altitude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Front froid en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Front froid en altitude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Occlusion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Ligne d'instabilité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Front intertropical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Ligne de convergence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Courant-jet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Ciel clair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Nuage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Turbulence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Tempête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Givrage d'aéronef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Phénomène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Volcan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Atmosphériques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Nuages spéciaux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Orage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Cyclone tropical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Onde orographique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Tempête de poussière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Tempête de sable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26-62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08 012  Identificateur terre/mer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Terre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Côte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08 013  Identificateur jour/nuit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Nuit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Jour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Crépuscule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08 014  Identificateur pour la portée visuelle de piste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Valeur moyenne de 10 mn - valeur normale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Valeur moyenne de 10 mn - au-dessus de la limite supérieure pour évaluations de PVP (P)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Valeur moyenne de 10 mn - au-dessous de la limite inférieure pour évaluations de PVP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minimale de 1 mn - valeur normale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Valeur minimale de 1 mn - au-dessus de la limite supérieure pour évaluations de PVP (P)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Valeur minimale de 1 mn - au-dessous de la limite inférieure pour évaluations de PVP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Valeur maximale de 1 mn - valeur normale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maximale de 1 mn - au-dessus de la limite supérieure pour évaluations de PVP (P)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Valeur maximale de 1 mn - au-dessous de la limite inférieure pour évaluations de PVP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08 015  Caractéristique du capteur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Capteur unique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Capteur principal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Capteur secondaire (de secours)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08 016  Identificateur de changement d'une prévision de type «tendance» ou d'une prévision d'aérodrome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NOSIG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BECMG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TEMPO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08 017  Identificateur de l'heure à laquelle le changement de prévision est attendu</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FM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08 018  Type de surface terre/glace mesurée par SEAWINDS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Terre présente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Carte des glaces de surface indique présence de 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Données de carte non disponibles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Données de carte d'atténuation non disponibles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08 019  Indicateur d'identification du centre suivant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Organisme des services de la circulation aérienne (ATS) desservant la Région d'information de vol (FIR)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Région d'information de vol (FIR)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Région supérieure d'information de vol (UIR)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Région de contrôle (CTA)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Centre d'avis de cendres volcaniques (VAAC)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Centre de veille météorologique (MWO) diffusant des renseignements SIGMET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08 021  Caractéristique temporelle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Série pour une certaine période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Moyenne sur une certaine période</w:t>
            </w:r>
          </w:p>
        </w:tc>
        <w:tc>
          <w:tcPr>
            <w:tcW w:type="dxa" w:w="5046"/>
          </w:tcPr>
          <w:p>
            <w:pPr>
              <w:spacing w:before="20" w:after="20"/>
            </w:pPr>
            <w:r/>
            <w:r>
              <w:rPr>
                <w:rFonts w:ascii="Verdana" w:hAnsi="Verdana"/>
                <w:b w:val="0"/>
                <w:sz w:val="16"/>
              </w:rPr>
              <w:t>Note 4: D’autres descripteurs sont requis pour réduire la charge de travail relative à la base de données de la station, par exemple pour l’identification de l’État fédéral et de l’axe routier.</w:t>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Accumulé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Prévision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Série de prévisions pour une certaine période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Moyenne de prévisions sur une certaine période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Prévision accumulée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Moyenne d'ensemble</w:t>
            </w:r>
          </w:p>
        </w:tc>
        <w:tc>
          <w:tcPr>
            <w:tcW w:type="dxa" w:w="5046"/>
          </w:tcPr>
          <w:p>
            <w:pPr>
              <w:spacing w:before="20" w:after="20"/>
            </w:pPr>
            <w:r/>
            <w:r>
              <w:rPr>
                <w:rFonts w:ascii="Verdana" w:hAnsi="Verdana"/>
                <w:b w:val="0"/>
                <w:sz w:val="16"/>
              </w:rPr>
              <w:t>Note 3: La séquence 3 10 027 est caduque.</w:t>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Série de moyennes d'ensemble pour une certaine période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Moyenne de moyennes d'ensemble sur une certaine période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Moyenne d'ensemble accumulée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Prévision moyenne d'ensemble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Série de prévisions moyennes d'ensemble pour une certaine période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Moyenne de prévisions moyennes d'ensemble sur une certaine période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Prévision moyenne d'ensemble accumulée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Analyse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Commencement du phénomène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Heure de lancement de la radiosonde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Début de l'orbite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Fin de l'orbite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Heure du nœud ascendant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Heure d'apparition d'une saute de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Période de contrôle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Limite de temps convenue pour la réception du message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Heure nominale de transmission du message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Heure de la dernière position connue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Première approximation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Début du balayage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Fin du balayage ou heure de fin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Heure d'apparition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08 023  Statistiques de premier ordre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Valeur maximale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minimale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Valeur moyenne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Valeur médiane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Valeur la plus probable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Erreur absolue moyenne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Meilleure estimation de l'écart type (N-1)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Écart type (N)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Moyenne harmonique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Erreur de vecteur de la valeur quadratique moyenne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Moyenne quadratique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14-31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Moyenne vectorielle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33-62</w:t>
            </w:r>
          </w:p>
        </w:tc>
        <w:tc>
          <w:tcPr>
            <w:tcW w:type="dxa" w:w="5046"/>
          </w:tcPr>
          <w:p>
            <w:pPr>
              <w:spacing w:before="20" w:after="20"/>
            </w:pPr>
            <w:r/>
            <w:r>
              <w:rPr>
                <w:rFonts w:ascii="Verdana" w:hAnsi="Verdana"/>
                <w:b w:val="0"/>
                <w:sz w:val="16"/>
              </w:rPr>
              <w:t>Réservés pour les besoins locaux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08 024  Statistiques sur les différences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Valeur observée moins la valeur maximale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observée moins la valeur minimale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Valeur observée moins la valeur moyenne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Valeur observée moins la valeur médiane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Valeur observée moins la valeur la plus probable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Valeur observée moins la valeur climatologique (anomalie)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Valeur observée moins la valeur analysée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Valeur observée moins la valeur analysée initialisée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Valeur observée moins la valeur prévue</w:t>
            </w:r>
          </w:p>
        </w:tc>
        <w:tc>
          <w:tcPr>
            <w:tcW w:type="dxa" w:w="5046"/>
          </w:tcPr>
          <w:p>
            <w:pPr>
              <w:spacing w:before="20" w:after="20"/>
            </w:pPr>
            <w:r/>
            <w:r>
              <w:rPr>
                <w:rFonts w:ascii="Verdana" w:hAnsi="Verdana"/>
                <w:b w:val="0"/>
                <w:sz w:val="16"/>
              </w:rPr>
              <w:t>Note 93: Des axes xyz situés à gauche ont été choisis pour le descripteur 0 10 031.</w:t>
            </w:r>
          </w:p>
        </w:tc>
      </w:tr>
      <w:tr>
        <w:trPr>
          <w:cantSplit/>
        </w:trPr>
        <w:tc>
          <w:tcPr>
            <w:tcW w:type="dxa" w:w="5046"/>
          </w:tcPr>
          <w:p>
            <w:pPr>
              <w:spacing w:before="20" w:after="20"/>
            </w:pPr>
            <w:r/>
            <w:r>
              <w:rPr>
                <w:rFonts w:ascii="Verdana" w:hAnsi="Verdana"/>
                <w:b w:val="0"/>
                <w:sz w:val="16"/>
              </w:rPr>
              <w:t>15-20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Valeur observée moins la valeur interpolée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Valeur observée moins la valeur calculée de façon hydrostatique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23-31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32-62</w:t>
            </w:r>
          </w:p>
        </w:tc>
        <w:tc>
          <w:tcPr>
            <w:tcW w:type="dxa" w:w="5046"/>
          </w:tcPr>
          <w:p>
            <w:pPr>
              <w:spacing w:before="20" w:after="20"/>
            </w:pPr>
            <w:r/>
            <w:r>
              <w:rPr>
                <w:rFonts w:ascii="Verdana" w:hAnsi="Verdana"/>
                <w:b w:val="0"/>
                <w:sz w:val="16"/>
              </w:rPr>
              <w:t>Réservés pour les besoins locaux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08 025  Décalage dans le temps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Temps universel coordonné (UTC) moins heure standard locale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Heure standard locale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Temps universel coordonné (UTC) moins horloge de satellite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Décalage dans le temps à partir de l'extrémité du segment traité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08 026  Caractéristique matricielle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Matrice de noyaux moyens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Matrice de corrélation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Racine carrée de la matrice triangulaire inférieure de corrélation (L dans C=LLT)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Inverse de la racine carrée de la matrice triangulaire inférieure de corrélation (L-1)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43-62</w:t>
            </w:r>
          </w:p>
        </w:tc>
        <w:tc>
          <w:tcPr>
            <w:tcW w:type="dxa" w:w="5046"/>
          </w:tcPr>
          <w:p>
            <w:pPr>
              <w:spacing w:before="20" w:after="20"/>
            </w:pPr>
            <w:r/>
            <w:r>
              <w:rPr>
                <w:rFonts w:ascii="Verdana" w:hAnsi="Verdana"/>
                <w:b w:val="0"/>
                <w:sz w:val="16"/>
              </w:rPr>
              <w:t>En réserve pour un usage local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 ou caractéristique non définie</w:t>
            </w:r>
          </w:p>
        </w:tc>
        <w:tc>
          <w:tcPr>
            <w:tcW w:type="dxa" w:w="5046"/>
          </w:tcPr>
          <w:p>
            <w:pPr>
              <w:spacing w:before="20" w:after="20"/>
            </w:pPr>
            <w:r/>
            <w:r>
              <w:rPr>
                <w:rFonts w:ascii="Verdana" w:hAnsi="Verdana"/>
                <w:b w:val="0"/>
                <w:sz w:val="16"/>
              </w:rPr>
            </w:r>
          </w:p>
        </w:tc>
      </w:tr>
    </w:tbl>
    <w:p/>
    <w:p>
      <w:r>
        <w:rPr>
          <w:rFonts w:ascii="Verdana" w:hAnsi="Verdana"/>
          <w:b/>
          <w:sz w:val="18"/>
        </w:rPr>
        <w:t>0 08 029  Type de surface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Pleine mer ou mer semi-fermée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Mer fermée ou lac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Glace continentale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Terre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Basse terre (sous le niveau de la 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Mélange de terre et d'eau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Mélange de terre et de basse terre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Cours d'eau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Lac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Glacier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Sol urbain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Sol rural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Sol suburbain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Glace de 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19-254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08 032  Mode de fonctionnement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Exploitation courante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Déclenchement événementiel (onde de tempête)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Déclenchement événementiel (tsunami)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Déclenchement manuel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Essai (installation)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Essai (maintenance)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08 033  Méthode de dérivation du pourcentage de confiance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Pourcentage de confiance calculé à partir de l'élément nuage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Pourcentage de confiance calculé à partir de l'écart type de la température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Pourcentage de confiance calculé à partir de la probabilité de contamination des nuages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Pourcentage de confiance calculé à partir de la normalité de la distribution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5-126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08 034  Indicateur de la mesure de la température ou de la salinité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Échantillonnage secondaire: mesure moyenne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Échantillonnage secondaire: mesure discontinue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Échantillonnage secondaire: mesure mixte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Échantillonnage près de la surface: mesure moyenne, par pompage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Échantillonnage près de la surface: mesure moyenne, sans pompage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Échantillonnage près de la surface: mesure discontinue, par pompage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Échantillonnage près de la surface: mesure discontinue, sans pompage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Échantillonnage près de la surface: mesure mixte, par pompage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Échantillonnage près de la surface: mesure mixte, sans pompage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08 035  Type d'exercice de contrôle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Mondial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Régional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National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Spécial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Bilatéral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08 036  Type de centre ou de station effectuant le contrôle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Secrétariat de l'OMM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CMRS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CMN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Site d'observation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08 037  Caractéristique du calage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Appareil de contrôle du fabricant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Abri météorologique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Banc de contrôle de l'humidité, type GRUAN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08 038  Caractéristique des données instrumentales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Données instrumentales vérifiées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Données instrumentales de référence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2-254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08 039  Caractéristique temporelle (prévision aéronautique)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Heure de transmission de la prévision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Heure de début de période de la prévision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Heure de fin de période de la prévision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Heure à laquelle la température maximale est attendue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Heure à laquelle la température minimale est attendue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Heure de début du changement de prévision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Heure de fin du changement de prévision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7-62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08 040  Caractéristique du niveau de vol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Échantillon de données de haute résolution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20 hPa de la surface au plus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Pression inférieure à 10 hPa (c.-à-d., 9, 8, 7, etc.), quand aucune autre raison ne s'applique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Niveau de pression de base pour l'indice de stabilité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Début des températures douteuses, données sur l'altitude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Début des données manquantes (tous les éléments)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Début des données manquantes sur l'humidité relative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Début des données manquantes sur la température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Niveau le plus élevé atteint avant que le ballon descende pour cause de givrage ou de turbulence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Fin des températures douteuses, données sur l'altitude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Fin des données manquantes (tous les éléments)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Fin des données manquantes sur l'humidité relative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Fin des données manquantes sur la température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Isotherme(s) 0 °C pour RADAT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Niveau de pression standard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Niveau ajouté par l'opérateur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Niveau supprimé par l'opérateur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Nouvelle ascension du ballon au-delà du niveau d'ascension le plus élevé atteint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Niveau significatif - humidité relative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Dernier niveau sélectionné pour l'humidité relative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Niveau de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Niveau significatif - température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Niveau obligatoire - température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Niveau de fin de vol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Tropopause(s)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Message d'aéronef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Niveau interpolé (établi)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Niveau obligatoire -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Niveau significatif -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Niveau du vent maximal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Niveau vent à valeur ascendante (fixé au plan régional)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Niveau altitude à valeur ascendante (établi)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Dernier niveau -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w:t>
            </w:r>
          </w:p>
        </w:tc>
        <w:tc>
          <w:tcPr>
            <w:tcW w:type="dxa" w:w="5046"/>
          </w:tcPr>
          <w:p>
            <w:pPr>
              <w:spacing w:before="20" w:after="20"/>
            </w:pPr>
            <w:r/>
            <w:r>
              <w:rPr>
                <w:rFonts w:ascii="Verdana" w:hAnsi="Verdana"/>
                <w:b w:val="0"/>
                <w:sz w:val="16"/>
              </w:rPr>
              <w:t>Pression de 100 à 110 hPa, quand aucune autre raison ne s'applique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Isotherme 0 °C inférieur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Isotherme 0 °C supérieur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Limite inférieure exprimée en niveau de vol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Limite supérieure exprimée en niveau de vol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Sommet du sondage du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Base du sondage du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w:t>
            </w:r>
          </w:p>
        </w:tc>
        <w:tc>
          <w:tcPr>
            <w:tcW w:type="dxa" w:w="5046"/>
          </w:tcPr>
          <w:p>
            <w:pPr>
              <w:spacing w:before="20" w:after="20"/>
            </w:pPr>
            <w:r/>
            <w:r>
              <w:rPr>
                <w:rFonts w:ascii="Verdana" w:hAnsi="Verdana"/>
                <w:b w:val="0"/>
                <w:sz w:val="16"/>
              </w:rPr>
              <w:t>Niveau thermodynamique significatif (inversion)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w:t>
            </w:r>
          </w:p>
        </w:tc>
        <w:tc>
          <w:tcPr>
            <w:tcW w:type="dxa" w:w="5046"/>
          </w:tcPr>
          <w:p>
            <w:pPr>
              <w:spacing w:before="20" w:after="20"/>
            </w:pPr>
            <w:r/>
            <w:r>
              <w:rPr>
                <w:rFonts w:ascii="Verdana" w:hAnsi="Verdana"/>
                <w:b w:val="0"/>
                <w:sz w:val="16"/>
              </w:rPr>
              <w:t>Niveau significatif - humidité relative (selon les critères du NCDC)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w:t>
            </w:r>
          </w:p>
        </w:tc>
        <w:tc>
          <w:tcPr>
            <w:tcW w:type="dxa" w:w="5046"/>
          </w:tcPr>
          <w:p>
            <w:pPr>
              <w:spacing w:before="20" w:after="20"/>
            </w:pPr>
            <w:r/>
            <w:r>
              <w:rPr>
                <w:rFonts w:ascii="Verdana" w:hAnsi="Verdana"/>
                <w:b w:val="0"/>
                <w:sz w:val="16"/>
              </w:rPr>
              <w:t>Niveau significatif - température (selon les critères du NCDC)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w:t>
            </w:r>
          </w:p>
        </w:tc>
        <w:tc>
          <w:tcPr>
            <w:tcW w:type="dxa" w:w="5046"/>
          </w:tcPr>
          <w:p>
            <w:pPr>
              <w:spacing w:before="20" w:after="20"/>
            </w:pPr>
            <w:r/>
            <w:r>
              <w:rPr>
                <w:rFonts w:ascii="Verdana" w:hAnsi="Verdana"/>
                <w:b w:val="0"/>
                <w:sz w:val="16"/>
              </w:rPr>
              <w:t>Début des données manquantes sur le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w:t>
            </w:r>
          </w:p>
        </w:tc>
        <w:tc>
          <w:tcPr>
            <w:tcW w:type="dxa" w:w="5046"/>
          </w:tcPr>
          <w:p>
            <w:pPr>
              <w:spacing w:before="20" w:after="20"/>
            </w:pPr>
            <w:r/>
            <w:r>
              <w:rPr>
                <w:rFonts w:ascii="Verdana" w:hAnsi="Verdana"/>
                <w:b w:val="0"/>
                <w:sz w:val="16"/>
              </w:rPr>
              <w:t>Fin des données manquantes sur le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45-59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w:t>
            </w:r>
          </w:p>
        </w:tc>
        <w:tc>
          <w:tcPr>
            <w:tcW w:type="dxa" w:w="5046"/>
          </w:tcPr>
          <w:p>
            <w:pPr>
              <w:spacing w:before="20" w:after="20"/>
            </w:pPr>
            <w:r/>
            <w:r>
              <w:rPr>
                <w:rFonts w:ascii="Verdana" w:hAnsi="Verdana"/>
                <w:b w:val="0"/>
                <w:sz w:val="16"/>
              </w:rPr>
              <w:t>Isotache de 80 nœuds au-dessus du courant-jet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w:t>
            </w:r>
          </w:p>
        </w:tc>
        <w:tc>
          <w:tcPr>
            <w:tcW w:type="dxa" w:w="5046"/>
          </w:tcPr>
          <w:p>
            <w:pPr>
              <w:spacing w:before="20" w:after="20"/>
            </w:pPr>
            <w:r/>
            <w:r>
              <w:rPr>
                <w:rFonts w:ascii="Verdana" w:hAnsi="Verdana"/>
                <w:b w:val="0"/>
                <w:sz w:val="16"/>
              </w:rPr>
              <w:t>Isotache de 80 nœuds au-dessous du courant-jet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08 041  Caractéristique des données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Site principal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Site d'observation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Date de fabrication du ballon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Point de lâcher du ballon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Observation de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Décalage entre l'observation de surface et le point de lâcher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Observation au niveau de vol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Point de terminaison du niveau de vol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Plafond et visibilité IFR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Obscurcissement des montagnes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Vent de surface fort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Isotherme 0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Zéros multiples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Date de fabrication de l'instrument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08 042  Caractéristique étendue correspondant à des données de sondage vertical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Niveau standard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Niveau de la tropopause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Niveau de vent maximal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Niveau significatif du point de vue de la température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Niveau significatif du point de vue de l'humidité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Niveau significatif du point de vue du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Début des valeurs manquantes pour la température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Fin des valeurs manquantes pour la température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Début des valeurs manquantes pour l'humidité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Fin des valeurs manquantes pour l'humidité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Début des valeurs manquantes pour le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Fin des valeurs manquantes pour le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Sommet du sondage du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Niveau déterminé par décision régionale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Isotherme 0 °C</w:t>
            </w:r>
          </w:p>
        </w:tc>
        <w:tc>
          <w:tcPr>
            <w:tcW w:type="dxa" w:w="5046"/>
          </w:tcPr>
          <w:p>
            <w:pPr>
              <w:spacing w:before="20" w:after="20"/>
            </w:pPr>
            <w:r/>
            <w:r>
              <w:rPr>
                <w:rFonts w:ascii="Verdana" w:hAnsi="Verdana"/>
                <w:b w:val="0"/>
                <w:sz w:val="16"/>
              </w:rPr>
              <w:t>Note 41: Une valeur de –0,001 pour l’épaisseur de neige fraîche (0 13 118) avant mise à l’échelle (–1 après mise à l’échelle ou en CREX) indique qu’il y a peu de neige (moins de 0,0005 m). Une valeur de –0,002 avant mise à l’échelle (–2 après mise à l’échelle ou en CREX) indique une «couche de neige non continue».</w:t>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Niveau de pression indiqué à l'origine par l'altitude en tant que coordonnée verticale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08 043  Type de constituants chimiques ou physiques de l'atmosphère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028"/>
        <w:gridCol w:w="3028"/>
        <w:gridCol w:w="3028"/>
        <w:gridCol w:w="3028"/>
        <w:gridCol w:w="3028"/>
      </w:tblGrid>
      <w:tr>
        <w:tc>
          <w:tcPr>
            <w:tcW w:type="dxa" w:w="1134"/>
            <w:shd w:val="clear" w:color="auto" w:fill="D9D9D9"/>
          </w:tcPr>
          <w:p>
            <w:pPr>
              <w:spacing w:before="20" w:after="20"/>
            </w:pPr>
            <w:r/>
            <w:r>
              <w:rPr>
                <w:rFonts w:ascii="Verdana" w:hAnsi="Verdana"/>
                <w:b w:val="0"/>
                <w:sz w:val="16"/>
              </w:rPr>
              <w:t>CHIFFRE DU CODE</w:t>
            </w:r>
          </w:p>
        </w:tc>
        <w:tc>
          <w:tcPr>
            <w:tcW w:type="dxa" w:w="3028"/>
            <w:shd w:val="clear" w:color="auto" w:fill="D9D9D9"/>
          </w:tcPr>
          <w:p>
            <w:pPr>
              <w:spacing w:before="20" w:after="20"/>
            </w:pPr>
            <w:r/>
            <w:r>
              <w:rPr>
                <w:rFonts w:ascii="Verdana" w:hAnsi="Verdana"/>
                <w:b w:val="0"/>
                <w:sz w:val="16"/>
              </w:rPr>
              <w:t>SIGNIFICATION</w:t>
            </w:r>
          </w:p>
        </w:tc>
        <w:tc>
          <w:tcPr>
            <w:tcW w:type="dxa" w:w="3028"/>
            <w:shd w:val="clear" w:color="auto" w:fill="D9D9D9"/>
          </w:tcPr>
          <w:p>
            <w:pPr>
              <w:spacing w:before="20" w:after="20"/>
            </w:pPr>
            <w:r/>
            <w:r>
              <w:rPr>
                <w:rFonts w:ascii="Verdana" w:hAnsi="Verdana"/>
                <w:b w:val="0"/>
                <w:sz w:val="16"/>
              </w:rPr>
              <w:t>SOUS 1</w:t>
            </w:r>
          </w:p>
        </w:tc>
        <w:tc>
          <w:tcPr>
            <w:tcW w:type="dxa" w:w="3028"/>
            <w:shd w:val="clear" w:color="auto" w:fill="D9D9D9"/>
          </w:tcPr>
          <w:p>
            <w:pPr>
              <w:spacing w:before="20" w:after="20"/>
            </w:pPr>
            <w:r/>
            <w:r>
              <w:rPr>
                <w:rFonts w:ascii="Verdana" w:hAnsi="Verdana"/>
                <w:b w:val="0"/>
                <w:sz w:val="16"/>
              </w:rPr>
              <w:t>SOUS 2</w:t>
            </w:r>
          </w:p>
        </w:tc>
        <w:tc>
          <w:tcPr>
            <w:tcW w:type="dxa" w:w="3028"/>
            <w:shd w:val="clear" w:color="auto" w:fill="D9D9D9"/>
          </w:tcPr>
          <w:p>
            <w:pPr>
              <w:spacing w:before="20" w:after="20"/>
            </w:pPr>
            <w:r/>
            <w:r>
              <w:rPr>
                <w:rFonts w:ascii="Verdana" w:hAnsi="Verdana"/>
                <w:b w:val="0"/>
                <w:sz w:val="16"/>
              </w:rPr>
              <w:t>NOTE</w:t>
            </w:r>
          </w:p>
        </w:tc>
      </w:tr>
      <w:tr>
        <w:trPr>
          <w:cantSplit/>
        </w:trPr>
        <w:tc>
          <w:tcPr>
            <w:tcW w:type="dxa" w:w="3028"/>
          </w:tcPr>
          <w:p>
            <w:pPr>
              <w:spacing w:before="20" w:after="20"/>
            </w:pPr>
            <w:r/>
            <w:r>
              <w:rPr>
                <w:rFonts w:ascii="Verdana" w:hAnsi="Verdana"/>
                <w:b w:val="0"/>
                <w:sz w:val="16"/>
              </w:rPr>
              <w:t>0</w:t>
            </w:r>
          </w:p>
        </w:tc>
        <w:tc>
          <w:tcPr>
            <w:tcW w:type="dxa" w:w="3028"/>
          </w:tcPr>
          <w:p>
            <w:pPr>
              <w:spacing w:before="20" w:after="20"/>
            </w:pPr>
            <w:r/>
            <w:r>
              <w:rPr>
                <w:rFonts w:ascii="Verdana" w:hAnsi="Verdana"/>
                <w:b w:val="0"/>
                <w:sz w:val="16"/>
              </w:rPr>
              <w:t>Ozone</w:t>
            </w:r>
          </w:p>
        </w:tc>
        <w:tc>
          <w:tcPr>
            <w:tcW w:type="dxa" w:w="3028"/>
          </w:tcPr>
          <w:p>
            <w:pPr>
              <w:spacing w:before="20" w:after="20"/>
            </w:pPr>
            <w:r/>
            <w:r>
              <w:rPr>
                <w:rFonts w:ascii="Verdana" w:hAnsi="Verdana"/>
                <w:b w:val="0"/>
                <w:sz w:val="16"/>
              </w:rPr>
              <w:t>O3</w:t>
            </w:r>
          </w:p>
        </w:tc>
        <w:tc>
          <w:tcPr>
            <w:tcW w:type="dxa" w:w="3028"/>
          </w:tcPr>
          <w:p>
            <w:pPr>
              <w:spacing w:before="20" w:after="20"/>
            </w:pPr>
            <w:r/>
            <w:r>
              <w:rPr>
                <w:rFonts w:ascii="Verdana" w:hAnsi="Verdana"/>
                <w:b w:val="0"/>
                <w:sz w:val="16"/>
              </w:rPr>
              <w:t>10028-15-6</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w:t>
            </w:r>
          </w:p>
        </w:tc>
        <w:tc>
          <w:tcPr>
            <w:tcW w:type="dxa" w:w="3028"/>
          </w:tcPr>
          <w:p>
            <w:pPr>
              <w:spacing w:before="20" w:after="20"/>
            </w:pPr>
            <w:r/>
            <w:r>
              <w:rPr>
                <w:rFonts w:ascii="Verdana" w:hAnsi="Verdana"/>
                <w:b w:val="0"/>
                <w:sz w:val="16"/>
              </w:rPr>
              <w:t>Vapeur d'eau</w:t>
            </w:r>
          </w:p>
        </w:tc>
        <w:tc>
          <w:tcPr>
            <w:tcW w:type="dxa" w:w="3028"/>
          </w:tcPr>
          <w:p>
            <w:pPr>
              <w:spacing w:before="20" w:after="20"/>
            </w:pPr>
            <w:r/>
            <w:r>
              <w:rPr>
                <w:rFonts w:ascii="Verdana" w:hAnsi="Verdana"/>
                <w:b w:val="0"/>
                <w:sz w:val="16"/>
              </w:rPr>
              <w:t>H2O</w:t>
            </w:r>
          </w:p>
        </w:tc>
        <w:tc>
          <w:tcPr>
            <w:tcW w:type="dxa" w:w="3028"/>
          </w:tcPr>
          <w:p>
            <w:pPr>
              <w:spacing w:before="20" w:after="20"/>
            </w:pPr>
            <w:r/>
            <w:r>
              <w:rPr>
                <w:rFonts w:ascii="Verdana" w:hAnsi="Verdana"/>
                <w:b w:val="0"/>
                <w:sz w:val="16"/>
              </w:rPr>
              <w:t>7732-18-5</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w:t>
            </w:r>
          </w:p>
        </w:tc>
        <w:tc>
          <w:tcPr>
            <w:tcW w:type="dxa" w:w="3028"/>
          </w:tcPr>
          <w:p>
            <w:pPr>
              <w:spacing w:before="20" w:after="20"/>
            </w:pPr>
            <w:r/>
            <w:r>
              <w:rPr>
                <w:rFonts w:ascii="Verdana" w:hAnsi="Verdana"/>
                <w:b w:val="0"/>
                <w:sz w:val="16"/>
              </w:rPr>
              <w:t>Méthane</w:t>
            </w:r>
          </w:p>
        </w:tc>
        <w:tc>
          <w:tcPr>
            <w:tcW w:type="dxa" w:w="3028"/>
          </w:tcPr>
          <w:p>
            <w:pPr>
              <w:spacing w:before="20" w:after="20"/>
            </w:pPr>
            <w:r/>
            <w:r>
              <w:rPr>
                <w:rFonts w:ascii="Verdana" w:hAnsi="Verdana"/>
                <w:b w:val="0"/>
                <w:sz w:val="16"/>
              </w:rPr>
              <w:t>CH4</w:t>
            </w:r>
          </w:p>
        </w:tc>
        <w:tc>
          <w:tcPr>
            <w:tcW w:type="dxa" w:w="3028"/>
          </w:tcPr>
          <w:p>
            <w:pPr>
              <w:spacing w:before="20" w:after="20"/>
            </w:pPr>
            <w:r/>
            <w:r>
              <w:rPr>
                <w:rFonts w:ascii="Verdana" w:hAnsi="Verdana"/>
                <w:b w:val="0"/>
                <w:sz w:val="16"/>
              </w:rPr>
              <w:t>74-82-8</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w:t>
            </w:r>
          </w:p>
        </w:tc>
        <w:tc>
          <w:tcPr>
            <w:tcW w:type="dxa" w:w="3028"/>
          </w:tcPr>
          <w:p>
            <w:pPr>
              <w:spacing w:before="20" w:after="20"/>
            </w:pPr>
            <w:r/>
            <w:r>
              <w:rPr>
                <w:rFonts w:ascii="Verdana" w:hAnsi="Verdana"/>
                <w:b w:val="0"/>
                <w:sz w:val="16"/>
              </w:rPr>
              <w:t>Dioxyde de carbone</w:t>
            </w:r>
          </w:p>
        </w:tc>
        <w:tc>
          <w:tcPr>
            <w:tcW w:type="dxa" w:w="3028"/>
          </w:tcPr>
          <w:p>
            <w:pPr>
              <w:spacing w:before="20" w:after="20"/>
            </w:pPr>
            <w:r/>
            <w:r>
              <w:rPr>
                <w:rFonts w:ascii="Verdana" w:hAnsi="Verdana"/>
                <w:b w:val="0"/>
                <w:sz w:val="16"/>
              </w:rPr>
              <w:t>CO2</w:t>
            </w:r>
          </w:p>
        </w:tc>
        <w:tc>
          <w:tcPr>
            <w:tcW w:type="dxa" w:w="3028"/>
          </w:tcPr>
          <w:p>
            <w:pPr>
              <w:spacing w:before="20" w:after="20"/>
            </w:pPr>
            <w:r/>
            <w:r>
              <w:rPr>
                <w:rFonts w:ascii="Verdana" w:hAnsi="Verdana"/>
                <w:b w:val="0"/>
                <w:sz w:val="16"/>
              </w:rPr>
              <w:t>124-38-9</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4</w:t>
            </w:r>
          </w:p>
        </w:tc>
        <w:tc>
          <w:tcPr>
            <w:tcW w:type="dxa" w:w="3028"/>
          </w:tcPr>
          <w:p>
            <w:pPr>
              <w:spacing w:before="20" w:after="20"/>
            </w:pPr>
            <w:r/>
            <w:r>
              <w:rPr>
                <w:rFonts w:ascii="Verdana" w:hAnsi="Verdana"/>
                <w:b w:val="0"/>
                <w:sz w:val="16"/>
              </w:rPr>
              <w:t>Monoxyde de carbone</w:t>
            </w:r>
          </w:p>
        </w:tc>
        <w:tc>
          <w:tcPr>
            <w:tcW w:type="dxa" w:w="3028"/>
          </w:tcPr>
          <w:p>
            <w:pPr>
              <w:spacing w:before="20" w:after="20"/>
            </w:pPr>
            <w:r/>
            <w:r>
              <w:rPr>
                <w:rFonts w:ascii="Verdana" w:hAnsi="Verdana"/>
                <w:b w:val="0"/>
                <w:sz w:val="16"/>
              </w:rPr>
              <w:t>CO</w:t>
            </w:r>
          </w:p>
        </w:tc>
        <w:tc>
          <w:tcPr>
            <w:tcW w:type="dxa" w:w="3028"/>
          </w:tcPr>
          <w:p>
            <w:pPr>
              <w:spacing w:before="20" w:after="20"/>
            </w:pPr>
            <w:r/>
            <w:r>
              <w:rPr>
                <w:rFonts w:ascii="Verdana" w:hAnsi="Verdana"/>
                <w:b w:val="0"/>
                <w:sz w:val="16"/>
              </w:rPr>
              <w:t>630-08-0</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5</w:t>
            </w:r>
          </w:p>
        </w:tc>
        <w:tc>
          <w:tcPr>
            <w:tcW w:type="dxa" w:w="3028"/>
          </w:tcPr>
          <w:p>
            <w:pPr>
              <w:spacing w:before="20" w:after="20"/>
            </w:pPr>
            <w:r/>
            <w:r>
              <w:rPr>
                <w:rFonts w:ascii="Verdana" w:hAnsi="Verdana"/>
                <w:b w:val="0"/>
                <w:sz w:val="16"/>
              </w:rPr>
              <w:t>Dioxyde d'azote</w:t>
            </w:r>
          </w:p>
        </w:tc>
        <w:tc>
          <w:tcPr>
            <w:tcW w:type="dxa" w:w="3028"/>
          </w:tcPr>
          <w:p>
            <w:pPr>
              <w:spacing w:before="20" w:after="20"/>
            </w:pPr>
            <w:r/>
            <w:r>
              <w:rPr>
                <w:rFonts w:ascii="Verdana" w:hAnsi="Verdana"/>
                <w:b w:val="0"/>
                <w:sz w:val="16"/>
              </w:rPr>
              <w:t>NO2</w:t>
            </w:r>
          </w:p>
        </w:tc>
        <w:tc>
          <w:tcPr>
            <w:tcW w:type="dxa" w:w="3028"/>
          </w:tcPr>
          <w:p>
            <w:pPr>
              <w:spacing w:before="20" w:after="20"/>
            </w:pPr>
            <w:r/>
            <w:r>
              <w:rPr>
                <w:rFonts w:ascii="Verdana" w:hAnsi="Verdana"/>
                <w:b w:val="0"/>
                <w:sz w:val="16"/>
              </w:rPr>
              <w:t>10102-44-0</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6</w:t>
            </w:r>
          </w:p>
        </w:tc>
        <w:tc>
          <w:tcPr>
            <w:tcW w:type="dxa" w:w="3028"/>
          </w:tcPr>
          <w:p>
            <w:pPr>
              <w:spacing w:before="20" w:after="20"/>
            </w:pPr>
            <w:r/>
            <w:r>
              <w:rPr>
                <w:rFonts w:ascii="Verdana" w:hAnsi="Verdana"/>
                <w:b w:val="0"/>
                <w:sz w:val="16"/>
              </w:rPr>
              <w:t>Protoxyde d'azote</w:t>
            </w:r>
          </w:p>
        </w:tc>
        <w:tc>
          <w:tcPr>
            <w:tcW w:type="dxa" w:w="3028"/>
          </w:tcPr>
          <w:p>
            <w:pPr>
              <w:spacing w:before="20" w:after="20"/>
            </w:pPr>
            <w:r/>
            <w:r>
              <w:rPr>
                <w:rFonts w:ascii="Verdana" w:hAnsi="Verdana"/>
                <w:b w:val="0"/>
                <w:sz w:val="16"/>
              </w:rPr>
              <w:t>N2O</w:t>
            </w:r>
          </w:p>
        </w:tc>
        <w:tc>
          <w:tcPr>
            <w:tcW w:type="dxa" w:w="3028"/>
          </w:tcPr>
          <w:p>
            <w:pPr>
              <w:spacing w:before="20" w:after="20"/>
            </w:pPr>
            <w:r/>
            <w:r>
              <w:rPr>
                <w:rFonts w:ascii="Verdana" w:hAnsi="Verdana"/>
                <w:b w:val="0"/>
                <w:sz w:val="16"/>
              </w:rPr>
              <w:t>10024-97-2</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7</w:t>
            </w:r>
          </w:p>
        </w:tc>
        <w:tc>
          <w:tcPr>
            <w:tcW w:type="dxa" w:w="3028"/>
          </w:tcPr>
          <w:p>
            <w:pPr>
              <w:spacing w:before="20" w:after="20"/>
            </w:pPr>
            <w:r/>
            <w:r>
              <w:rPr>
                <w:rFonts w:ascii="Verdana" w:hAnsi="Verdana"/>
                <w:b w:val="0"/>
                <w:sz w:val="16"/>
              </w:rPr>
              <w:t>Formaldéhyde</w:t>
            </w:r>
          </w:p>
        </w:tc>
        <w:tc>
          <w:tcPr>
            <w:tcW w:type="dxa" w:w="3028"/>
          </w:tcPr>
          <w:p>
            <w:pPr>
              <w:spacing w:before="20" w:after="20"/>
            </w:pPr>
            <w:r/>
            <w:r>
              <w:rPr>
                <w:rFonts w:ascii="Verdana" w:hAnsi="Verdana"/>
                <w:b w:val="0"/>
                <w:sz w:val="16"/>
              </w:rPr>
              <w:t>HCHO</w:t>
            </w:r>
          </w:p>
        </w:tc>
        <w:tc>
          <w:tcPr>
            <w:tcW w:type="dxa" w:w="3028"/>
          </w:tcPr>
          <w:p>
            <w:pPr>
              <w:spacing w:before="20" w:after="20"/>
            </w:pPr>
            <w:r/>
            <w:r>
              <w:rPr>
                <w:rFonts w:ascii="Verdana" w:hAnsi="Verdana"/>
                <w:b w:val="0"/>
                <w:sz w:val="16"/>
              </w:rPr>
              <w:t>50-00-0</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8</w:t>
            </w:r>
          </w:p>
        </w:tc>
        <w:tc>
          <w:tcPr>
            <w:tcW w:type="dxa" w:w="3028"/>
          </w:tcPr>
          <w:p>
            <w:pPr>
              <w:spacing w:before="20" w:after="20"/>
            </w:pPr>
            <w:r/>
            <w:r>
              <w:rPr>
                <w:rFonts w:ascii="Verdana" w:hAnsi="Verdana"/>
                <w:b w:val="0"/>
                <w:sz w:val="16"/>
              </w:rPr>
              <w:t>Dioxyde de soufre</w:t>
            </w:r>
          </w:p>
        </w:tc>
        <w:tc>
          <w:tcPr>
            <w:tcW w:type="dxa" w:w="3028"/>
          </w:tcPr>
          <w:p>
            <w:pPr>
              <w:spacing w:before="20" w:after="20"/>
            </w:pPr>
            <w:r/>
            <w:r>
              <w:rPr>
                <w:rFonts w:ascii="Verdana" w:hAnsi="Verdana"/>
                <w:b w:val="0"/>
                <w:sz w:val="16"/>
              </w:rPr>
              <w:t>SO2</w:t>
            </w:r>
          </w:p>
        </w:tc>
        <w:tc>
          <w:tcPr>
            <w:tcW w:type="dxa" w:w="3028"/>
          </w:tcPr>
          <w:p>
            <w:pPr>
              <w:spacing w:before="20" w:after="20"/>
            </w:pPr>
            <w:r/>
            <w:r>
              <w:rPr>
                <w:rFonts w:ascii="Verdana" w:hAnsi="Verdana"/>
                <w:b w:val="0"/>
                <w:sz w:val="16"/>
              </w:rPr>
              <w:t>7446-09-5</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9-24</w:t>
            </w:r>
          </w:p>
        </w:tc>
        <w:tc>
          <w:tcPr>
            <w:tcW w:type="dxa" w:w="3028"/>
          </w:tcPr>
          <w:p>
            <w:pPr>
              <w:spacing w:before="20" w:after="20"/>
            </w:pPr>
            <w:r/>
            <w:r>
              <w:rPr>
                <w:rFonts w:ascii="Verdana" w:hAnsi="Verdana"/>
                <w:b w:val="0"/>
                <w:sz w:val="16"/>
              </w:rPr>
              <w:t>En réserve</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25</w:t>
            </w:r>
          </w:p>
        </w:tc>
        <w:tc>
          <w:tcPr>
            <w:tcW w:type="dxa" w:w="3028"/>
          </w:tcPr>
          <w:p>
            <w:pPr>
              <w:spacing w:before="20" w:after="20"/>
            </w:pPr>
            <w:r/>
            <w:r>
              <w:rPr>
                <w:rFonts w:ascii="Verdana" w:hAnsi="Verdana"/>
                <w:b w:val="0"/>
                <w:sz w:val="16"/>
              </w:rPr>
              <w:t>Particule &lt; 1,0 micron</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26</w:t>
            </w:r>
          </w:p>
        </w:tc>
        <w:tc>
          <w:tcPr>
            <w:tcW w:type="dxa" w:w="3028"/>
          </w:tcPr>
          <w:p>
            <w:pPr>
              <w:spacing w:before="20" w:after="20"/>
            </w:pPr>
            <w:r/>
            <w:r>
              <w:rPr>
                <w:rFonts w:ascii="Verdana" w:hAnsi="Verdana"/>
                <w:b w:val="0"/>
                <w:sz w:val="16"/>
              </w:rPr>
              <w:t>Particule &lt; 2,5 microns</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27</w:t>
            </w:r>
          </w:p>
        </w:tc>
        <w:tc>
          <w:tcPr>
            <w:tcW w:type="dxa" w:w="3028"/>
          </w:tcPr>
          <w:p>
            <w:pPr>
              <w:spacing w:before="20" w:after="20"/>
            </w:pPr>
            <w:r/>
            <w:r>
              <w:rPr>
                <w:rFonts w:ascii="Verdana" w:hAnsi="Verdana"/>
                <w:b w:val="0"/>
                <w:sz w:val="16"/>
              </w:rPr>
              <w:t>Particule &lt; 10 microns</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28</w:t>
            </w:r>
          </w:p>
        </w:tc>
        <w:tc>
          <w:tcPr>
            <w:tcW w:type="dxa" w:w="3028"/>
          </w:tcPr>
          <w:p>
            <w:pPr>
              <w:spacing w:before="20" w:after="20"/>
            </w:pPr>
            <w:r/>
            <w:r>
              <w:rPr>
                <w:rFonts w:ascii="Verdana" w:hAnsi="Verdana"/>
                <w:b w:val="0"/>
                <w:sz w:val="16"/>
              </w:rPr>
              <w:t>Aérosols (de toute nature)</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29</w:t>
            </w:r>
          </w:p>
        </w:tc>
        <w:tc>
          <w:tcPr>
            <w:tcW w:type="dxa" w:w="3028"/>
          </w:tcPr>
          <w:p>
            <w:pPr>
              <w:spacing w:before="20" w:after="20"/>
            </w:pPr>
            <w:r/>
            <w:r>
              <w:rPr>
                <w:rFonts w:ascii="Verdana" w:hAnsi="Verdana"/>
                <w:b w:val="0"/>
                <w:sz w:val="16"/>
              </w:rPr>
              <w:t>Fumée (de toute nature)</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30</w:t>
            </w:r>
          </w:p>
        </w:tc>
        <w:tc>
          <w:tcPr>
            <w:tcW w:type="dxa" w:w="3028"/>
          </w:tcPr>
          <w:p>
            <w:pPr>
              <w:spacing w:before="20" w:after="20"/>
            </w:pPr>
            <w:r/>
            <w:r>
              <w:rPr>
                <w:rFonts w:ascii="Verdana" w:hAnsi="Verdana"/>
                <w:b w:val="0"/>
                <w:sz w:val="16"/>
              </w:rPr>
              <w:t>Matière crustale (poussière de toute nature)</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31</w:t>
            </w:r>
          </w:p>
        </w:tc>
        <w:tc>
          <w:tcPr>
            <w:tcW w:type="dxa" w:w="3028"/>
          </w:tcPr>
          <w:p>
            <w:pPr>
              <w:spacing w:before="20" w:after="20"/>
            </w:pPr>
            <w:r/>
            <w:r>
              <w:rPr>
                <w:rFonts w:ascii="Verdana" w:hAnsi="Verdana"/>
                <w:b w:val="0"/>
                <w:sz w:val="16"/>
              </w:rPr>
              <w:t>Cendres volcaniques</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32-200</w:t>
            </w:r>
          </w:p>
        </w:tc>
        <w:tc>
          <w:tcPr>
            <w:tcW w:type="dxa" w:w="3028"/>
          </w:tcPr>
          <w:p>
            <w:pPr>
              <w:spacing w:before="20" w:after="20"/>
            </w:pPr>
            <w:r/>
            <w:r>
              <w:rPr>
                <w:rFonts w:ascii="Verdana" w:hAnsi="Verdana"/>
                <w:b w:val="0"/>
                <w:sz w:val="16"/>
              </w:rPr>
              <w:t>En réserve</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201-254</w:t>
            </w:r>
          </w:p>
        </w:tc>
        <w:tc>
          <w:tcPr>
            <w:tcW w:type="dxa" w:w="3028"/>
          </w:tcPr>
          <w:p>
            <w:pPr>
              <w:spacing w:before="20" w:after="20"/>
            </w:pPr>
            <w:r/>
            <w:r>
              <w:rPr>
                <w:rFonts w:ascii="Verdana" w:hAnsi="Verdana"/>
                <w:b w:val="0"/>
                <w:sz w:val="16"/>
              </w:rPr>
              <w:t>En réserve pour un usage local</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255</w:t>
            </w:r>
          </w:p>
        </w:tc>
        <w:tc>
          <w:tcPr>
            <w:tcW w:type="dxa" w:w="3028"/>
          </w:tcPr>
          <w:p>
            <w:pPr>
              <w:spacing w:before="20" w:after="20"/>
            </w:pPr>
            <w:r/>
            <w:r>
              <w:rPr>
                <w:rFonts w:ascii="Verdana" w:hAnsi="Verdana"/>
                <w:b w:val="0"/>
                <w:sz w:val="16"/>
              </w:rPr>
              <w:t>Valeur manquante</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bl>
    <w:p/>
    <w:p>
      <w:r>
        <w:rPr>
          <w:rFonts w:ascii="Verdana" w:hAnsi="Verdana"/>
          <w:b/>
          <w:sz w:val="18"/>
        </w:rPr>
        <w:t>0 08 050  Identificateur pour le nombre de valeurs manquantes dans le calcul des statistiques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Pression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Température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Température extrême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Tension de vapeur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Précipitations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Durée d'insolation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Température maximale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Température minimale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08 051  Identificateur pour le nombre de valeurs manquantes dans le calcul des statistiques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Pression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Température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Température extrême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Pression de vapeur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Précipitation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Durée d'insolation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08 052  Condition pour laquelle le nombre de jours d'occurrence est indiqué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Vitesse moyenne du vent observée ou enregistrée pour une période de 10 minutes égale ou supérieure à 10 m s-1 ou 20 nœuds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Vitesse moyenne du vent observée ou enregistrée pour une période de 10 minutes égale ou supérieure à 20 m s-1 ou 40 nœuds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Vitesse moyenne du vent observée ou enregistrée pour une période de 10 minutes égale ou supérieure à 30 m s-1 ou 60 nœuds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Température maximale inférieure à 273,15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Température maximale égale ou supérieure à 298,15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Température maximale égale ou supérieure à 303,15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Température maximale égale ou supérieure à 308,15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Température maximale égale ou supérieure à 313,15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Température minimale inférieure à 273,15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Température maximale égale ou supérieure à 273,15 K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Précipitations égales ou supérieures à 1,0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Précipitations égales ou supérieures à 5,0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Précipitations égales ou supérieures à 10,0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Précipitations égales ou supérieures à 50,0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Précipitations égales ou supérieures à 100,0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Précipitations égales ou supérieures à 150,0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Hauteur de la couche de neige supérieure à 0,00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Hauteur de la couche de neige supérieure à 0,01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Hauteur de la couche de neige supérieure à 0,10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Hauteur de la couche de neige supérieure à 0,50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Visibilité horizontale inférieure à 50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Visibilité horizontale inférieure à 100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Visibilité horizontale inférieure à 1000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Grêle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Orage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08 053  Identificateur du jour d'occurrence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Valeur obtenue un jour seulement dans le mois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Valeur obtenue plus d'un jour dans le mois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08 054  Identificateur de la vitesse du vent ou des rafales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La vitesse du vent ou des rafales est conforme aux indications transmises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La vitesse du vent est supérieure aux indications transmises (P dans METAR/TAF/SPECI)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08 060  Signification du mode de balayage de l'échantillon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Distance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Azimut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Horizontal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Vertical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Nord/sud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Est/ouest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08 065  Indicateur de reflet solaire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Absence de reflet solaire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Présence de reflet solaire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08 066  Indicateur de semi-transparence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Opaque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Semi-transparent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08 070  Identificateur de produits de sondages verticaux</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Relevés d'instruments situés en surface, coefficients d'étalonnage et maintenance (niveau 1b)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Données étalonnées de luminance énergétique en surface (niveau 1c)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Ramenées à une empreinte de satellite commune, données étalonnées de luminance énergétique en surface (niveau 1d)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08 072  Type de pixel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Partiellement nuageux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Dégagé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Couvert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Probablement dégagé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Probablement couvert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08 074  Type d'écho de l'altimètre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Pleine mer ou mer semi-fermée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Différent de la 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08 075  Identificateur d'orbite ascendante ou descendante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Orbite ascendante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Orbite descendante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08 076  Type de bande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Rayonnement infrarouge de grande longueur d'onde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Rayonnement infrarouge de longueur d'onde moyenne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Rayonnement infrarouge de courte longueur d'onde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Jour/nuit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8-62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08 077  Type de surface détecté par radiomètre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Terre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Littoral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Pleine mer ou mer semi-fermée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Mer fermée ou lac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Glace continentale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6-126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08 079  Catégorie de produit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Diffusion normale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Correction apportée à un produit déjà transmis (COR)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Modification apportée à un produit déjà transmis (AMD)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Correction apportée à un produit modifié déjà transmis (COR AMD)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Annulation d'un produit déjà transmis (CNL)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Aucun produit disponible (NIL)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Message spécial (SPECI)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Message spécial corrigé (SPECI COR)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 ou non applicable</w:t>
            </w:r>
          </w:p>
        </w:tc>
        <w:tc>
          <w:tcPr>
            <w:tcW w:type="dxa" w:w="5046"/>
          </w:tcPr>
          <w:p>
            <w:pPr>
              <w:spacing w:before="20" w:after="20"/>
            </w:pPr>
            <w:r/>
            <w:r>
              <w:rPr>
                <w:rFonts w:ascii="Verdana" w:hAnsi="Verdana"/>
                <w:b w:val="0"/>
                <w:sz w:val="16"/>
              </w:rPr>
            </w:r>
          </w:p>
        </w:tc>
      </w:tr>
    </w:tbl>
    <w:p/>
    <w:p>
      <w:r>
        <w:rPr>
          <w:rFonts w:ascii="Verdana" w:hAnsi="Verdana"/>
          <w:b/>
          <w:sz w:val="18"/>
        </w:rPr>
        <w:t>0 08 080  Identificateur de l'indicateur de qualité pour le GTSPP</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Profil total de la pression hydrostatique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Profil total de la température de l'eau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Profil total de la salinité de l'eau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Profil total de la conductivité de l'eau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Profil total de la profondeur de l'eau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Pression hydrostatique à un niveau donné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Température de l'eau à un niveau donné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Salinité à un niveau donné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Profondeur de l'eau à un niveau donné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Vitesse du courant à un niveau donné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Direction du courant à un niveau donné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Teneur en oxygène dissous à un niveau donné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17-19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Position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21-62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08 081  Type d'équipement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Capteur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Émetteur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Récepteur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Plate-forme d'observation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08 082  Correction de la hauteur du capteur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La hauteur du capteur n'est pas corrigée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La hauteur du capteur est remplacée par la hauteur standard</w:t>
            </w:r>
          </w:p>
        </w:tc>
        <w:tc>
          <w:tcPr>
            <w:tcW w:type="dxa" w:w="5046"/>
          </w:tcPr>
          <w:p>
            <w:pPr>
              <w:spacing w:before="20" w:after="20"/>
            </w:pPr>
            <w:r/>
            <w:r>
              <w:rPr>
                <w:rFonts w:ascii="Verdana" w:hAnsi="Verdana"/>
                <w:b w:val="0"/>
                <w:sz w:val="16"/>
              </w:rPr>
              <w:t>Note 48: Le descripteur 0 04 041, remplacé par la combinaison des descripteurs 0 08 025 et 0 26 003, ne doit pas être utilisé pour le codage de cet élément.</w:t>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08 083  Indicateur de valeur nominale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Ajustée à la hauteur représentative du capteur au-dessus du sol (ou du pont à une plate-forme marine) ou en fonction de celle-ci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Ajustée à la hauteur représentative du capteur au-dessus de la surface de l'eau ou en fonction de celle-ci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Ajustée en fonction de la rugosité de la surface standard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Ajustée en fonction de la vitesse du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Ajustée en fonction de la température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Ajustée en fonction de la pression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Ajustée en fonction de l'humidité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Ajustée en fonction de l'évaporation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Ajustée en fonction des pertes par mouillage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08 085  Identification du faisceau</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Faisceau avant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Faisceau médian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Faisceau amère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08 086  Caractéristique verticale pour la prévision numérique du temps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Surface «sol» du modèle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Surface isobare standard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Niveau de la tropopause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Niveau du vent maximal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Niveau significatif, température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Niveau significatif, humidité relative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Niveau significatif,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Niveau obtenu par interpolation verticale (à mettre à 1 quand les points du profil vertical se situent entre des niveaux verticaux établis par le modèle)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Altitude virtuelle de la station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Niveau d'ajustement optimal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08 087  Position des coins déterminant la colonne observée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Supérieur gauche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Supérieur droit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Inférieur droit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Inférieur gauche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08 088  Caractéristiques cartographiques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Vue en plan (longitude terrestre sur l'axe des abscisses et latitude terrestre sur l'axe des ordonnées)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Vue nord-sud (coupe avec la longitude terrestre sur l'axe des abscisses et l'altitude sur l'axe des ordonnées)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Vue est-ouest (coupe avec la latitude terrestre sur l'axe des abscisses et l'altitude sur l'axe des ordonnées)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08 091  Caractéristique des coordonnées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Coordonnées du satellite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Coordonnées de l'observation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Début de l'observation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Fin de l'observation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Centre de gravité de l'observation sur l'axe horizontal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Centre de gravité de l'observation sur l'axe vertical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Sommet de l'observation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Base de l'observation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Origine de la projection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Coordonnées de l'échelle vraie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10-254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08 092  Expression de l'incertitude de mesure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Incertitude type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08 093  Caractéristique de l'incertitude de mesure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Incertitude totale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Composante systématique de l'incertitude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Composante aléatoire de l'incertitude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p>
      <w:r>
        <w:rPr>
          <w:rFonts w:ascii="Verdana" w:hAnsi="Verdana"/>
          <w:i/>
          <w:sz w:val="14"/>
        </w:rPr>
        <w:t>Note 2: (voir Note 1) 1) Pour l’emploi du chiffre du code 15, voir la règle 12.1.4. 2) «Clair» et «couvert» portent les chiffres 0 et 8 respectivement.</w:t>
      </w:r>
    </w:p>
    <w:p>
      <w:r>
        <w:rPr>
          <w:rFonts w:ascii="Verdana" w:hAnsi="Verdana"/>
          <w:i/>
          <w:sz w:val="14"/>
        </w:rPr>
        <w:t>Note 5: (0 = bonne; 1 = mauvaise)</w:t>
      </w:r>
    </w:p>
    <w:p>
      <w:r>
        <w:rPr>
          <w:rFonts w:ascii="Verdana" w:hAnsi="Verdana"/>
          <w:i/>
          <w:sz w:val="14"/>
        </w:rPr>
        <w:t>Note 6: (Voir la table de code commune C-1 dans la Partie C/c.)</w:t>
      </w:r>
    </w:p>
    <w:p>
      <w:r>
        <w:rPr>
          <w:rFonts w:ascii="Verdana" w:hAnsi="Verdana"/>
          <w:i/>
          <w:sz w:val="14"/>
        </w:rPr>
        <w:t>Note 7: (Voir la table de code commune C-2 dans la Partie C/c.)</w:t>
      </w:r>
    </w:p>
    <w:p>
      <w:r>
        <w:rPr>
          <w:rFonts w:ascii="Verdana" w:hAnsi="Verdana"/>
          <w:i/>
          <w:sz w:val="14"/>
        </w:rPr>
        <w:t>Note 8: (Voir la table de code commune C-3)</w:t>
      </w:r>
    </w:p>
    <w:p>
      <w:r>
        <w:rPr>
          <w:rFonts w:ascii="Verdana" w:hAnsi="Verdana"/>
          <w:i/>
          <w:sz w:val="14"/>
        </w:rPr>
        <w:t>Note 9: (Voir la table de code commune C-4)</w:t>
      </w:r>
    </w:p>
    <w:p>
      <w:r>
        <w:rPr>
          <w:rFonts w:ascii="Verdana" w:hAnsi="Verdana"/>
          <w:i/>
          <w:sz w:val="14"/>
        </w:rPr>
        <w:t>Note 10: (Voir la table de code commune C-5 dans la Partie C/c.)</w:t>
      </w:r>
    </w:p>
    <w:p>
      <w:r>
        <w:rPr>
          <w:rFonts w:ascii="Verdana" w:hAnsi="Verdana"/>
          <w:i/>
          <w:sz w:val="14"/>
        </w:rPr>
        <w:t>Note 11: (Voir la table de code commune C-7 dans la Partie C/c.)</w:t>
      </w:r>
    </w:p>
    <w:p>
      <w:r>
        <w:rPr>
          <w:rFonts w:ascii="Verdana" w:hAnsi="Verdana"/>
          <w:i/>
          <w:sz w:val="14"/>
        </w:rPr>
        <w:t>Note 12: (Voir la table de code commune C-8 dans la Partie C/c.)</w:t>
      </w:r>
    </w:p>
    <w:p>
      <w:r>
        <w:rPr>
          <w:rFonts w:ascii="Verdana" w:hAnsi="Verdana"/>
          <w:i/>
          <w:sz w:val="14"/>
        </w:rPr>
        <w:t>Note 13: (See Common Code table C-14 Part C/c.)</w:t>
      </w:r>
    </w:p>
    <w:p>
      <w:r>
        <w:rPr>
          <w:rFonts w:ascii="Verdana" w:hAnsi="Verdana"/>
          <w:i/>
          <w:sz w:val="14"/>
        </w:rPr>
        <w:t>Note 14: (A definir par les centres proprement dits - Voir la table de code commune C-12 dans la Partie C/c.)</w:t>
      </w:r>
    </w:p>
    <w:p>
      <w:r>
        <w:rPr>
          <w:rFonts w:ascii="Verdana" w:hAnsi="Verdana"/>
          <w:i/>
          <w:sz w:val="14"/>
        </w:rPr>
        <w:t>Note 15: (A etablir)</w:t>
      </w:r>
    </w:p>
    <w:p>
      <w:r>
        <w:rPr>
          <w:rFonts w:ascii="Verdana" w:hAnsi="Verdana"/>
          <w:i/>
          <w:sz w:val="14"/>
        </w:rPr>
        <w:t>Note 16: Une séquence d’au moins deux paires de coordonnées de position, telles que latitude et longitude, définit une ligne ou un polygone. Les points sont reliés dans l’ordre indiqué dans le message. Toute zone décrite se situera à gauche de la ligne dessinée dans le sens indiqué. Cette définition s’applique à des polygones simples, non intersectants et sans trou.</w:t>
      </w:r>
    </w:p>
    <w:p>
      <w:r>
        <w:rPr>
          <w:rFonts w:ascii="Verdana" w:hAnsi="Verdana"/>
          <w:i/>
          <w:sz w:val="14"/>
        </w:rPr>
        <w:t>Note 17: Si tous les bits sont mis à 0, cela signifie que l’étalonnage est correct.</w:t>
      </w:r>
    </w:p>
    <w:p>
      <w:r>
        <w:rPr>
          <w:rFonts w:ascii="Verdana" w:hAnsi="Verdana"/>
          <w:i/>
          <w:sz w:val="14"/>
        </w:rPr>
        <w:t>Note 18: Toutes les statistiques de premier ordre sont exprimees dans les unites definies par les descripteurs de donnees d'origine.</w:t>
      </w:r>
    </w:p>
    <w:p>
      <w:r>
        <w:rPr>
          <w:rFonts w:ascii="Verdana" w:hAnsi="Verdana"/>
          <w:i/>
          <w:sz w:val="14"/>
        </w:rPr>
        <w:t>Note 19: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21: En commençant par la position du premier bit (bit de plus fort poids), si le bit est mis à 1, le canal est utilisé. Si le bit est mis à zéro, le canal n’est pas utilisé.</w:t>
      </w:r>
    </w:p>
    <w:p>
      <w:r>
        <w:rPr>
          <w:rFonts w:ascii="Verdana" w:hAnsi="Verdana"/>
          <w:i/>
          <w:sz w:val="14"/>
        </w:rPr>
        <w:t>Note 22: L'expression 'mesure ciel couvert' indique que les valeurs de sondage sont obtenues uniquement a partir de donnees HIRS stratospheriques, de donnees MSU et de donnees SSU. Le ciel etant couvert, on n'a pas utilise de donnees HIRS tropospheriques.</w:t>
      </w:r>
    </w:p>
    <w:p>
      <w:r>
        <w:rPr>
          <w:rFonts w:ascii="Verdana" w:hAnsi="Verdana"/>
          <w:i/>
          <w:sz w:val="14"/>
        </w:rPr>
        <w:t>Note 23: HIRS* signifie: canaux HIRS 1 (669 cm–1) 2 (679 cm–1) 3 (690 cm–1) 4 (2358 cm–1)</w:t>
      </w:r>
    </w:p>
    <w:p>
      <w:r>
        <w:rPr>
          <w:rFonts w:ascii="Verdana" w:hAnsi="Verdana"/>
          <w:i/>
          <w:sz w:val="14"/>
        </w:rPr>
        <w:t>Note 24: Bits 1 a 4: INDICATIF DE DEFAUT DE L'HEURE. Lorsque tous les bits sont mis a 0, cela signifie que l'heure de balayage correspond a l'heure prevue.</w:t>
      </w:r>
    </w:p>
    <w:p>
      <w:r>
        <w:rPr>
          <w:rFonts w:ascii="Verdana" w:hAnsi="Verdana"/>
          <w:i/>
          <w:sz w:val="14"/>
        </w:rPr>
        <w:t>Note 25: Bits 11 a 17: INDICATIF DE DEFAUT DE LOCALISATION GEOGRAPHIQUE. Lorsque tous les bits sont mis a 0, cela signifie que la localisation geographique est normale.</w:t>
      </w:r>
    </w:p>
    <w:p>
      <w:r>
        <w:rPr>
          <w:rFonts w:ascii="Verdana" w:hAnsi="Verdana"/>
          <w:i/>
          <w:sz w:val="14"/>
        </w:rPr>
        <w:t>Note 27: Bits 5 a 10: INDICATIF DE DEFAUT D'ETALONNAGE. Lorsque tous les bits sont mis a 0, cela signifie que l'etalonnage est normal. Lorsque l'un ou l'autre des bits 5, 7 et 10 est mis a 1, cela signifie que des coefficients secondaires d'etalonnage ont ete utilises.</w:t>
      </w:r>
    </w:p>
    <w:p>
      <w:r>
        <w:rPr>
          <w:rFonts w:ascii="Verdana" w:hAnsi="Verdana"/>
          <w:i/>
          <w:sz w:val="14"/>
        </w:rPr>
        <w:t>Note 32: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33: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35: Le descripteur 0 25 009 est caduc; le remplacer par le descripteur 0 25 029.</w:t>
      </w:r>
    </w:p>
    <w:p>
      <w:r>
        <w:rPr>
          <w:rFonts w:ascii="Verdana" w:hAnsi="Verdana"/>
          <w:i/>
          <w:sz w:val="14"/>
        </w:rPr>
        <w:t>Note 36: Les statistiques sur les differences sont des valeurs differentielles ayant des dimensions similaires a celles des valeurs observees correspondantes en ce qui concerne les unites, mais dont les limites sont centrees sur le zero.</w:t>
      </w:r>
    </w:p>
    <w:p>
      <w:r>
        <w:rPr>
          <w:rFonts w:ascii="Verdana" w:hAnsi="Verdana"/>
          <w:i/>
          <w:sz w:val="14"/>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p>
      <w:r>
        <w:rPr>
          <w:rFonts w:ascii="Verdana" w:hAnsi="Verdana"/>
          <w:i/>
          <w:sz w:val="14"/>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45: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49: Si le bit est mis à 1, l’indication est valable.</w:t>
      </w:r>
    </w:p>
    <w:p>
      <w:r>
        <w:rPr>
          <w:rFonts w:ascii="Verdana" w:hAnsi="Verdana"/>
          <w:i/>
          <w:sz w:val="14"/>
        </w:rPr>
        <w:t>Note 50: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54: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57: Le mélange de précipitation est indiqué en mettant à 1 les bits de tous les types de précipitation observés.</w:t>
      </w:r>
    </w:p>
    <w:p>
      <w:r>
        <w:rPr>
          <w:rFonts w:ascii="Verdana" w:hAnsi="Verdana"/>
          <w:i/>
          <w:sz w:val="14"/>
        </w:rPr>
        <w:t>Note 59: D’autres appellations locales utilisées pour des orages de diverses intensités sont ajoutées selon les besoins.</w:t>
      </w:r>
    </w:p>
    <w:p>
      <w:r>
        <w:rPr>
          <w:rFonts w:ascii="Verdana" w:hAnsi="Verdana"/>
          <w:i/>
          <w:sz w:val="14"/>
        </w:rPr>
        <w:t>Note 60: Aucun des chiffres du code n’exclut la possibilité, laissée à la discrétion du centre de production, d’ajouter des niveaux obtenus par interpolation.</w:t>
      </w:r>
    </w:p>
    <w:p>
      <w:r>
        <w:rPr>
          <w:rFonts w:ascii="Verdana" w:hAnsi="Verdana"/>
          <w:i/>
          <w:sz w:val="14"/>
        </w:rPr>
        <w:t>Note 63: Dans cette table d'indicateurs, 'phenomene' signifie tout phenomene, y compris les precipitations et l'obscurcissement.</w:t>
      </w:r>
    </w:p>
    <w:p>
      <w:r>
        <w:rPr>
          <w:rFonts w:ascii="Verdana" w:hAnsi="Verdana"/>
          <w:i/>
          <w:sz w:val="14"/>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78: Les trois premiers chiffres representent le code ISO du pays.</w:t>
      </w:r>
    </w:p>
    <w:p>
      <w:r>
        <w:rPr>
          <w:rFonts w:ascii="Verdana" w:hAnsi="Verdana"/>
          <w:i/>
          <w:sz w:val="14"/>
        </w:rPr>
        <w:t>Note 79: La derniere colonne de la table indique le numero d’enregistrement correspondant emis par le Chemical Abstracts Service (CAS) de l’American Chemical Society.</w:t>
      </w:r>
    </w:p>
    <w:p>
      <w:r>
        <w:rPr>
          <w:rFonts w:ascii="Verdana" w:hAnsi="Verdana"/>
          <w:i/>
          <w:sz w:val="14"/>
        </w:rPr>
        <w:t>Note 80: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81: L’échelle des valeurs nominales de l’humidité du sol en surface est comprise entre 0 et 100 %. Dans des cas extrêmes, il est possible néanmoins que la valeur extrapolée à partir de la rétrodiffusion suivant un angle d’incidence de 40 degrés soit inférieure à la valeur minimale de référence de 0 % (conditions sèches) ou supérieure à la valeur maximale de référence de 100 % (conditions humides).</w:t>
      </w:r>
    </w:p>
    <w:p>
      <w:r>
        <w:rPr>
          <w:rFonts w:ascii="Verdana" w:hAnsi="Verdana"/>
          <w:i/>
          <w:sz w:val="14"/>
        </w:rPr>
        <w:t>Note 84: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85: Ce descripteur sera associé à des données relatives à la visibilité ou à la hauteur des nuages pour préciser si la valeur est bornée. Si la donnée transmise est la valeur vraie, le chiffre du code est 0. Toutefois, la mesure peut atteindre la limite de capacité de mesure de l’instrument. Si la valeur transmise est supérieure à la valeur vraie, le chiffre du code est 1; si la valeur transmise est inférieure à la valeur vraie, le chiffre du code est 2.</w:t>
      </w:r>
    </w:p>
    <w:p>
      <w:r>
        <w:rPr>
          <w:rFonts w:ascii="Verdana" w:hAnsi="Verdana"/>
          <w:i/>
          <w:sz w:val="14"/>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p>
      <w:r>
        <w:rPr>
          <w:rFonts w:ascii="Verdana" w:hAnsi="Verdana"/>
          <w:i/>
          <w:sz w:val="14"/>
        </w:rPr>
        <w:t>Note 90: Type d'instrument et unites initiales pour la mesure du vent (en m s-1 sauf indication contraire).</w:t>
      </w:r>
    </w:p>
    <w:p>
      <w:r>
        <w:rPr>
          <w:rFonts w:ascii="Verdana" w:hAnsi="Verdana"/>
          <w:i/>
          <w:sz w:val="14"/>
        </w:rPr>
        <w:t>Note 94: Si la méthode de transmission d’origine est celle indiquée par le chiffre 1 du code, il est conseillé de faire appel à la table de conversion suivante pour obtenir une valeur correcte des données correspondant au descripteur 0 01 012: Valeur indiquée Valeur des données 0 0 1 45 2 90 3 135 4 180 5 225 6 270 7 315 8 360 9 511</w:t>
      </w:r>
    </w:p>
    <w:p>
      <w:r>
        <w:rPr>
          <w:rFonts w:ascii="Verdana" w:hAnsi="Verdana"/>
          <w:i/>
          <w:sz w:val="14"/>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