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11</w:t>
      </w:r>
    </w:p>
    <w:p>
      <w:r>
        <w:rPr>
          <w:rFonts w:ascii="Verdana" w:hAnsi="Verdana"/>
          <w:b/>
          <w:sz w:val="18"/>
        </w:rPr>
        <w:t>0 11 030  Degré de turbulence détaillé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Turbulence modérée (MOD)</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Turbulence forte (SEV)</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Turbulence extrême, en atmosphère claire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Turbulence extrême, dans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Turbulence extrême, dans les nuages ou en atmosphère claire, non précisé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Turbulence faible, ponctuellement modérée (ISOL MOD)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Turbulence faible, occasionnellement modérée (OCNL MOD)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Turbulence faible, fréquemment modérée (FRQ MOD)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Turbulence modérée, ponctuellement forte (MOD ISOL SEV)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Turbulence modérée, occasionnellement forte (MOD OCNL SEV)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Turbulence modérée, fréquemment forte (MOD FRQ SEV)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Turbulence forte, ponctuellement extrême (SEV ISOL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Turbulence forte, occasionnellement extrême (SEV OCNL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Turbulence forte, fréquemment extrême (SEV FRQ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24-62</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11 031  Degré de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dans les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en atmosphère claire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Turbulence faible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Turbulence modérée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Turbulence forte</w:t>
            </w:r>
          </w:p>
        </w:tc>
        <w:tc>
          <w:tcPr>
            <w:tcW w:type="dxa" w:w="3784"/>
          </w:tcPr>
          <w:p>
            <w:pPr>
              <w:spacing w:before="20" w:after="20"/>
            </w:pPr>
            <w:r/>
            <w:r>
              <w:rPr>
                <w:rFonts w:ascii="Verdana" w:hAnsi="Verdana"/>
                <w:b w:val="0"/>
                <w:sz w:val="16"/>
              </w:rPr>
              <w:t>dans les nuages ou en atmosphère claire, non précisé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Turbulence extrême, en atmosphère claire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Turbulence extrême, dans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Turbulence extrême, dans les nuages ou en atmosphère claire, non précisé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11 037  Indice de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max. &lt;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0,1 ≤ max.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0,1 ≤ max.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0,2 ≤ max.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0,2 ≤ max.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0,2 ≤ max.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0,3 ≤ max.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0,4 ≤ moy. &lt; 0,5</w:t>
            </w:r>
          </w:p>
        </w:tc>
        <w:tc>
          <w:tcPr>
            <w:tcW w:type="dxa" w:w="3784"/>
          </w:tcPr>
          <w:p>
            <w:pPr>
              <w:spacing w:before="20" w:after="20"/>
            </w:pPr>
            <w:r/>
            <w:r>
              <w:rPr>
                <w:rFonts w:ascii="Verdana" w:hAnsi="Verdana"/>
                <w:b w:val="0"/>
                <w:sz w:val="16"/>
              </w:rPr>
              <w:t>0,4 ≤ max.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0,4 ≤ moy. &lt; 0,5</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0,5 ≤ moy. &lt; 0,8</w:t>
            </w:r>
          </w:p>
        </w:tc>
        <w:tc>
          <w:tcPr>
            <w:tcW w:type="dxa" w:w="3784"/>
          </w:tcPr>
          <w:p>
            <w:pPr>
              <w:spacing w:before="20" w:after="20"/>
            </w:pPr>
            <w:r/>
            <w:r>
              <w:rPr>
                <w:rFonts w:ascii="Verdana" w:hAnsi="Verdana"/>
                <w:b w:val="0"/>
                <w:sz w:val="16"/>
              </w:rPr>
              <w:t>0,5 ≤ max.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moy. &lt; 0,1</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0,1 ≤ moy. &lt; 0,2</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0,2 ≤ moy. &lt; 0,3</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0,3 ≤ moy. &lt; 0,4</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0,4 ≤ moy. &lt; 0,5</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0,5 ≤ moy. &lt; 0,8</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0,8 ≤ moy.</w:t>
            </w:r>
          </w:p>
        </w:tc>
        <w:tc>
          <w:tcPr>
            <w:tcW w:type="dxa" w:w="3784"/>
          </w:tcPr>
          <w:p>
            <w:pPr>
              <w:spacing w:before="20" w:after="20"/>
            </w:pPr>
            <w:r/>
            <w:r>
              <w:rPr>
                <w:rFonts w:ascii="Verdana" w:hAnsi="Verdana"/>
                <w:b w:val="0"/>
                <w:sz w:val="16"/>
              </w:rPr>
              <w:t>0,8 ≤ max.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t>Pas de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29-62</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r>
    </w:tbl>
    <w:p/>
    <w:p>
      <w:r>
        <w:rPr>
          <w:rFonts w:ascii="Verdana" w:hAnsi="Verdana"/>
          <w:b/>
          <w:sz w:val="18"/>
        </w:rPr>
        <w:t>0 11 038  Heure du taux maximal de dissipation des tourbillons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Pas d'information disponible à ce sujet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11 039  Étalement dans le temps de l'apparition du taux maximal de dissipation des tourbillons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15-59</w:t>
            </w:r>
          </w:p>
        </w:tc>
        <w:tc>
          <w:tcPr>
            <w:tcW w:type="dxa" w:w="5046"/>
          </w:tcPr>
          <w:p>
            <w:pPr>
              <w:spacing w:before="20" w:after="20"/>
            </w:pPr>
            <w:r/>
            <w:r>
              <w:rPr>
                <w:rFonts w:ascii="Verdana" w:hAnsi="Verdana"/>
                <w:b w:val="0"/>
                <w:sz w:val="16"/>
              </w:rPr>
              <w:t>Suite de ce qui précède jusqu'à 59 ≤ min &lt;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Aucune information pertinente 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