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29</w:t>
      </w:r>
    </w:p>
    <w:p>
      <w:r>
        <w:rPr>
          <w:rFonts w:ascii="Verdana" w:hAnsi="Verdana"/>
          <w:b/>
          <w:sz w:val="18"/>
        </w:rPr>
        <w:t>0 29 001  Type de projection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Projection gnomonique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Projection stéréographique polaire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Projection conique conforme de Lambert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Projection de Mercator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Cône de balayage (radar)</w:t>
            </w:r>
          </w:p>
        </w:tc>
        <w:tc>
          <w:tcPr>
            <w:tcW w:type="dxa" w:w="5046"/>
          </w:tcPr>
          <w:p>
            <w:pPr>
              <w:spacing w:before="20" w:after="20"/>
            </w:pPr>
            <w:r/>
            <w:r>
              <w:rPr>
                <w:rFonts w:ascii="Verdana" w:hAnsi="Verdana"/>
                <w:b w:val="0"/>
                <w:sz w:val="16"/>
              </w:rPr>
              <w:t>Note 65: Le type 4 de projection indique une grille cartesienne placee directement sur le cone de balayage defini par la portee azimutale du radar.</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Pas de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29 002  Type de grille de coordonnées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Cartésienne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