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35</w:t>
      </w:r>
    </w:p>
    <w:p>
      <w:r>
        <w:rPr>
          <w:rFonts w:ascii="Verdana" w:hAnsi="Verdana"/>
          <w:b/>
          <w:sz w:val="18"/>
        </w:rPr>
        <w:t>0 35 000  FM et numéro de code régional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000-099</w:t>
            </w:r>
          </w:p>
        </w:tc>
        <w:tc>
          <w:tcPr>
            <w:tcW w:type="dxa" w:w="5046"/>
          </w:tcPr>
          <w:p>
            <w:pPr>
              <w:spacing w:before="20" w:after="20"/>
            </w:pPr>
            <w:r/>
            <w:r>
              <w:rPr>
                <w:rFonts w:ascii="Verdana" w:hAnsi="Verdana"/>
                <w:b w:val="0"/>
                <w:sz w:val="16"/>
              </w:rPr>
              <w:t>Codes FM internationaux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100-199</w:t>
            </w:r>
          </w:p>
        </w:tc>
        <w:tc>
          <w:tcPr>
            <w:tcW w:type="dxa" w:w="5046"/>
          </w:tcPr>
          <w:p>
            <w:pPr>
              <w:spacing w:before="20" w:after="20"/>
            </w:pPr>
            <w:r/>
            <w:r>
              <w:rPr>
                <w:rFonts w:ascii="Verdana" w:hAnsi="Verdana"/>
                <w:b w:val="0"/>
                <w:sz w:val="16"/>
              </w:rPr>
              <w:t>Codes pour la Région 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200-299</w:t>
            </w:r>
          </w:p>
        </w:tc>
        <w:tc>
          <w:tcPr>
            <w:tcW w:type="dxa" w:w="5046"/>
          </w:tcPr>
          <w:p>
            <w:pPr>
              <w:spacing w:before="20" w:after="20"/>
            </w:pPr>
            <w:r/>
            <w:r>
              <w:rPr>
                <w:rFonts w:ascii="Verdana" w:hAnsi="Verdana"/>
                <w:b w:val="0"/>
                <w:sz w:val="16"/>
              </w:rPr>
              <w:t>Codes pour la Région II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300-399</w:t>
            </w:r>
          </w:p>
        </w:tc>
        <w:tc>
          <w:tcPr>
            <w:tcW w:type="dxa" w:w="5046"/>
          </w:tcPr>
          <w:p>
            <w:pPr>
              <w:spacing w:before="20" w:after="20"/>
            </w:pPr>
            <w:r/>
            <w:r>
              <w:rPr>
                <w:rFonts w:ascii="Verdana" w:hAnsi="Verdana"/>
                <w:b w:val="0"/>
                <w:sz w:val="16"/>
              </w:rPr>
              <w:t>Codes pour la Région III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400-499</w:t>
            </w:r>
          </w:p>
        </w:tc>
        <w:tc>
          <w:tcPr>
            <w:tcW w:type="dxa" w:w="5046"/>
          </w:tcPr>
          <w:p>
            <w:pPr>
              <w:spacing w:before="20" w:after="20"/>
            </w:pPr>
            <w:r/>
            <w:r>
              <w:rPr>
                <w:rFonts w:ascii="Verdana" w:hAnsi="Verdana"/>
                <w:b w:val="0"/>
                <w:sz w:val="16"/>
              </w:rPr>
              <w:t>Codes pour la Région IV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500-599</w:t>
            </w:r>
          </w:p>
        </w:tc>
        <w:tc>
          <w:tcPr>
            <w:tcW w:type="dxa" w:w="5046"/>
          </w:tcPr>
          <w:p>
            <w:pPr>
              <w:spacing w:before="20" w:after="20"/>
            </w:pPr>
            <w:r/>
            <w:r>
              <w:rPr>
                <w:rFonts w:ascii="Verdana" w:hAnsi="Verdana"/>
                <w:b w:val="0"/>
                <w:sz w:val="16"/>
              </w:rPr>
              <w:t>Codes pour la Région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600-699</w:t>
            </w:r>
          </w:p>
        </w:tc>
        <w:tc>
          <w:tcPr>
            <w:tcW w:type="dxa" w:w="5046"/>
          </w:tcPr>
          <w:p>
            <w:pPr>
              <w:spacing w:before="20" w:after="20"/>
            </w:pPr>
            <w:r/>
            <w:r>
              <w:rPr>
                <w:rFonts w:ascii="Verdana" w:hAnsi="Verdana"/>
                <w:b w:val="0"/>
                <w:sz w:val="16"/>
              </w:rPr>
              <w:t>Codes pour la Région VI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700-799</w:t>
            </w:r>
          </w:p>
        </w:tc>
        <w:tc>
          <w:tcPr>
            <w:tcW w:type="dxa" w:w="5046"/>
          </w:tcPr>
          <w:p>
            <w:pPr>
              <w:spacing w:before="20" w:after="20"/>
            </w:pPr>
            <w:r/>
            <w:r>
              <w:rPr>
                <w:rFonts w:ascii="Verdana" w:hAnsi="Verdana"/>
                <w:b w:val="0"/>
                <w:sz w:val="16"/>
              </w:rPr>
              <w:t>Codes pour l'Antarctique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800-999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1000-1022</w:t>
            </w:r>
          </w:p>
        </w:tc>
        <w:tc>
          <w:tcPr>
            <w:tcW w:type="dxa" w:w="5046"/>
          </w:tcPr>
          <w:p>
            <w:pPr>
              <w:spacing w:before="20" w:after="20"/>
            </w:pPr>
            <w:r/>
            <w:r>
              <w:rPr>
                <w:rFonts w:ascii="Verdana" w:hAnsi="Verdana"/>
                <w:b w:val="0"/>
                <w:sz w:val="16"/>
              </w:rPr>
              <w:t>Inutilisés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35 001  Base de temps pour le contrôle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temps réel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 temps quasi réel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différé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35 030  Divergences dans la disponibilité des données attendues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Aucune divergence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Non-respect des pratiques et des procédures normalisées et recommandées y compris celles qui concernent le contrôle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Catalogues de bulletins météorologiques non mis à jour à temps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Annuaires d'acheminement incorrects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Manque de souplesse dans les dispositions d'acheminement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Anomalies dans l'exploitation des centres et des circuits du SMT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Perte de données ou retard dans la transmission de données sur le SMT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Acheminement des données différent de l'acheminement prévu par le plan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Fautes diverses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35 031  Qualification du contrôle des résultats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Suffisants et d'une qualité acceptable dans l'ensemble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Suffisants mais d'une qualité partiellement acceptable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Insuffisants mais d'une qualité acceptable dans l'ensemble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Insuffisants et d'une qualité inacceptable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Caractère incomplet de certains messages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Groupes suspects ou mal chiffrés ne pouvant être interprétés en toute confiance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Erreurs grossières de chiffrement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Ordre séquentiel de transmission non respecté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Message complètement embrouillé et rejeté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Anomalies identifiées et rectifiées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Anomalies identifiées mais non rectifiées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Anomalies non identifiées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Erreur de mesure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Incohérence mutuelle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Incohérence temporelle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Erreur de prévision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Erreur systématique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Amélioration du système de contrôle de la qualité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Développement des programmes de formation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20-98</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99-126</w:t>
            </w:r>
          </w:p>
        </w:tc>
        <w:tc>
          <w:tcPr>
            <w:tcW w:type="dxa" w:w="5046"/>
          </w:tcPr>
          <w:p>
            <w:pPr>
              <w:spacing w:before="20" w:after="20"/>
            </w:pPr>
            <w:r/>
            <w:r>
              <w:rPr>
                <w:rFonts w:ascii="Verdana" w:hAnsi="Verdana"/>
                <w:b w:val="0"/>
                <w:sz w:val="16"/>
              </w:rPr>
              <w:t>Inutilisés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35 032  Cause des données manquantes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Groupes de données manquants en raison de l'évanouissement brusque des signaux radioélectriques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Groupes de données manquants en raison de l'interruption de service du centre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Groupes de données manquants en raison de la panne de circuits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Non-respect ou non-maintien de la densité requise du RSBR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Manque de personnel qualifié dans les stations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Manque de consommables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Panne d'instrument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Non-respect des procédures de télécommunications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Interruption de certains programmes d'observation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Inutilisés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35 033  Anomalies dans l'observation et les données collectées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Aucune anomalie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Observations non effectuées régulièrement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Observations non effectuées au bon moment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Observations effectuées mais non diffusées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Observations effectuées et transmises à des usagers incorrects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Données collectées non reçues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Données collectées transmises en retard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Données collectées non transmises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Difficultés dans la propagation HF et le choix de la fréquence correcte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Difficultés d'entretien du matériel de transmission dans les stations éloignées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Aucune disposition de secours pour acheminer les observations météorologiques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12-99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100-122</w:t>
            </w:r>
          </w:p>
        </w:tc>
        <w:tc>
          <w:tcPr>
            <w:tcW w:type="dxa" w:w="5046"/>
          </w:tcPr>
          <w:p>
            <w:pPr>
              <w:spacing w:before="20" w:after="20"/>
            </w:pPr>
            <w:r/>
            <w:r>
              <w:rPr>
                <w:rFonts w:ascii="Verdana" w:hAnsi="Verdana"/>
                <w:b w:val="0"/>
                <w:sz w:val="16"/>
              </w:rPr>
              <w:t>Inutilisés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35 034  Tendances statistiques de la disponibilité des données (pendant la(les) période(s) d'observation)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Légère amélioration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Amélioration importante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Amélioration très importante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Régulière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En diminution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Efforts nécessaires pour améliorer les observations de nuit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35 035  Raison de l'abandon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Éclatement du ballon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Chute du ballon due au givrage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Fuite ou ballon plafonnant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Signal faible ou s'affaiblissant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Panne d'accumulateur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Panne de l'équipement au sol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Interférence des signaux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Panne de la radiosonde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Trop de blocs de données manquants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Trop de données manquantes sur la 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Trop de données manquantes sur la 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Abandon par l'opérateur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Perte soudaine du signal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Perte du signal de poursuite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Augmentation de la 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Données non valides ou données manquantes (délais dépassés)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18-29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