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02 : Instruments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0 02 001</w:t>
            </w:r>
          </w:p>
        </w:tc>
        <w:tc>
          <w:tcPr>
            <w:tcW w:type="dxa" w:w="1514"/>
          </w:tcPr>
          <w:p>
            <w:pPr>
              <w:spacing w:before="20" w:after="20"/>
            </w:pPr>
            <w:r/>
            <w:r>
              <w:rPr>
                <w:rFonts w:ascii="Verdana" w:hAnsi="Verdana"/>
                <w:b w:val="0"/>
                <w:sz w:val="16"/>
              </w:rPr>
              <w:t>Type de station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0 02 002</w:t>
            </w:r>
          </w:p>
        </w:tc>
        <w:tc>
          <w:tcPr>
            <w:tcW w:type="dxa" w:w="1514"/>
          </w:tcPr>
          <w:p>
            <w:pPr>
              <w:spacing w:before="20" w:after="20"/>
            </w:pPr>
            <w:r/>
            <w:r>
              <w:rPr>
                <w:rFonts w:ascii="Verdana" w:hAnsi="Verdana"/>
                <w:b w:val="0"/>
                <w:sz w:val="16"/>
              </w:rPr>
              <w:t>Type d'instrument pour la mesure du vent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0 02 003</w:t>
            </w:r>
          </w:p>
        </w:tc>
        <w:tc>
          <w:tcPr>
            <w:tcW w:type="dxa" w:w="1514"/>
          </w:tcPr>
          <w:p>
            <w:pPr>
              <w:spacing w:before="20" w:after="20"/>
            </w:pPr>
            <w:r/>
            <w:r>
              <w:rPr>
                <w:rFonts w:ascii="Verdana" w:hAnsi="Verdana"/>
                <w:b w:val="0"/>
                <w:sz w:val="16"/>
              </w:rPr>
              <w:t>Type d'équipement de mesure utilisé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0 02 004</w:t>
            </w:r>
          </w:p>
        </w:tc>
        <w:tc>
          <w:tcPr>
            <w:tcW w:type="dxa" w:w="1514"/>
          </w:tcPr>
          <w:p>
            <w:pPr>
              <w:spacing w:before="20" w:after="20"/>
            </w:pPr>
            <w:r/>
            <w:r>
              <w:rPr>
                <w:rFonts w:ascii="Verdana" w:hAnsi="Verdana"/>
                <w:b w:val="0"/>
                <w:sz w:val="16"/>
              </w:rPr>
              <w:t>Type d'instrument utilisé pour la mesure de l'évaporation ou type de culture pour lequel est indiquée l'évapotranspiration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0 02 005</w:t>
            </w:r>
          </w:p>
        </w:tc>
        <w:tc>
          <w:tcPr>
            <w:tcW w:type="dxa" w:w="1514"/>
          </w:tcPr>
          <w:p>
            <w:pPr>
              <w:spacing w:before="20" w:after="20"/>
            </w:pPr>
            <w:r/>
            <w:r>
              <w:rPr>
                <w:rFonts w:ascii="Verdana" w:hAnsi="Verdana"/>
                <w:b w:val="0"/>
                <w:sz w:val="16"/>
              </w:rPr>
              <w:t>Précision des observations de la température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0 02 007</w:t>
            </w:r>
          </w:p>
        </w:tc>
        <w:tc>
          <w:tcPr>
            <w:tcW w:type="dxa" w:w="1514"/>
          </w:tcPr>
          <w:p>
            <w:pPr>
              <w:spacing w:before="20" w:after="20"/>
            </w:pPr>
            <w:r/>
            <w:r>
              <w:rPr>
                <w:rFonts w:ascii="Verdana" w:hAnsi="Verdana"/>
                <w:b w:val="0"/>
                <w:sz w:val="16"/>
              </w:rPr>
              <w:t>Type de capteur pour les instruments de mesure de la hauteur d'eau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0 02 008</w:t>
            </w:r>
          </w:p>
        </w:tc>
        <w:tc>
          <w:tcPr>
            <w:tcW w:type="dxa" w:w="1514"/>
          </w:tcPr>
          <w:p>
            <w:pPr>
              <w:spacing w:before="20" w:after="20"/>
            </w:pPr>
            <w:r/>
            <w:r>
              <w:rPr>
                <w:rFonts w:ascii="Verdana" w:hAnsi="Verdana"/>
                <w:b w:val="0"/>
                <w:sz w:val="16"/>
              </w:rPr>
              <w:t>Type de plate-forme en mer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0 02 011</w:t>
            </w:r>
          </w:p>
        </w:tc>
        <w:tc>
          <w:tcPr>
            <w:tcW w:type="dxa" w:w="1514"/>
          </w:tcPr>
          <w:p>
            <w:pPr>
              <w:spacing w:before="20" w:after="20"/>
            </w:pPr>
            <w:r/>
            <w:r>
              <w:rPr>
                <w:rFonts w:ascii="Verdana" w:hAnsi="Verdana"/>
                <w:b w:val="0"/>
                <w:sz w:val="16"/>
              </w:rPr>
              <w:t>Type de radiosonde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0 02 012</w:t>
            </w:r>
          </w:p>
        </w:tc>
        <w:tc>
          <w:tcPr>
            <w:tcW w:type="dxa" w:w="1514"/>
          </w:tcPr>
          <w:p>
            <w:pPr>
              <w:spacing w:before="20" w:after="20"/>
            </w:pPr>
            <w:r/>
            <w:r>
              <w:rPr>
                <w:rFonts w:ascii="Verdana" w:hAnsi="Verdana"/>
                <w:b w:val="0"/>
                <w:sz w:val="16"/>
              </w:rPr>
              <w:t>Méthode de calcul des données de radiosondage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0 02 013</w:t>
            </w:r>
          </w:p>
        </w:tc>
        <w:tc>
          <w:tcPr>
            <w:tcW w:type="dxa" w:w="1514"/>
          </w:tcPr>
          <w:p>
            <w:pPr>
              <w:spacing w:before="20" w:after="20"/>
            </w:pPr>
            <w:r/>
            <w:r>
              <w:rPr>
                <w:rFonts w:ascii="Verdana" w:hAnsi="Verdana"/>
                <w:b w:val="0"/>
                <w:sz w:val="16"/>
              </w:rPr>
              <w:t>Correction du rayonnement solaire et infrarouge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0 02 014</w:t>
            </w:r>
          </w:p>
        </w:tc>
        <w:tc>
          <w:tcPr>
            <w:tcW w:type="dxa" w:w="1514"/>
          </w:tcPr>
          <w:p>
            <w:pPr>
              <w:spacing w:before="20" w:after="20"/>
            </w:pPr>
            <w:r/>
            <w:r>
              <w:rPr>
                <w:rFonts w:ascii="Verdana" w:hAnsi="Verdana"/>
                <w:b w:val="0"/>
                <w:sz w:val="16"/>
              </w:rPr>
              <w:t>Technique de poursuite/état du système utilisé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0 02 015</w:t>
            </w:r>
          </w:p>
        </w:tc>
        <w:tc>
          <w:tcPr>
            <w:tcW w:type="dxa" w:w="1514"/>
          </w:tcPr>
          <w:p>
            <w:pPr>
              <w:spacing w:before="20" w:after="20"/>
            </w:pPr>
            <w:r/>
            <w:r>
              <w:rPr>
                <w:rFonts w:ascii="Verdana" w:hAnsi="Verdana"/>
                <w:b w:val="0"/>
                <w:sz w:val="16"/>
              </w:rPr>
              <w:t>Degré d'équipement de la radiosonde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0 02 016</w:t>
            </w:r>
          </w:p>
        </w:tc>
        <w:tc>
          <w:tcPr>
            <w:tcW w:type="dxa" w:w="1514"/>
          </w:tcPr>
          <w:p>
            <w:pPr>
              <w:spacing w:before="20" w:after="20"/>
            </w:pPr>
            <w:r/>
            <w:r>
              <w:rPr>
                <w:rFonts w:ascii="Verdana" w:hAnsi="Verdana"/>
                <w:b w:val="0"/>
                <w:sz w:val="16"/>
              </w:rPr>
              <w:t>Configuration de la radiosonde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0 02 017</w:t>
            </w:r>
          </w:p>
        </w:tc>
        <w:tc>
          <w:tcPr>
            <w:tcW w:type="dxa" w:w="1514"/>
          </w:tcPr>
          <w:p>
            <w:pPr>
              <w:spacing w:before="20" w:after="20"/>
            </w:pPr>
            <w:r/>
            <w:r>
              <w:rPr>
                <w:rFonts w:ascii="Verdana" w:hAnsi="Verdana"/>
                <w:b w:val="0"/>
                <w:sz w:val="16"/>
              </w:rPr>
              <w:t>Algorithmes de correction pour les mesures d'humidité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0 02 019</w:t>
            </w:r>
          </w:p>
        </w:tc>
        <w:tc>
          <w:tcPr>
            <w:tcW w:type="dxa" w:w="1514"/>
          </w:tcPr>
          <w:p>
            <w:pPr>
              <w:spacing w:before="20" w:after="20"/>
            </w:pPr>
            <w:r/>
            <w:r>
              <w:rPr>
                <w:rFonts w:ascii="Verdana" w:hAnsi="Verdana"/>
                <w:b w:val="0"/>
                <w:sz w:val="16"/>
              </w:rPr>
              <w:t>Instruments satellitaires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0 02 020</w:t>
            </w:r>
          </w:p>
        </w:tc>
        <w:tc>
          <w:tcPr>
            <w:tcW w:type="dxa" w:w="1514"/>
          </w:tcPr>
          <w:p>
            <w:pPr>
              <w:spacing w:before="20" w:after="20"/>
            </w:pPr>
            <w:r/>
            <w:r>
              <w:rPr>
                <w:rFonts w:ascii="Verdana" w:hAnsi="Verdana"/>
                <w:b w:val="0"/>
                <w:sz w:val="16"/>
              </w:rPr>
              <w:t>Classification des satellites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0 02 021</w:t>
            </w:r>
          </w:p>
        </w:tc>
        <w:tc>
          <w:tcPr>
            <w:tcW w:type="dxa" w:w="1514"/>
          </w:tcPr>
          <w:p>
            <w:pPr>
              <w:spacing w:before="20" w:after="20"/>
            </w:pPr>
            <w:r/>
            <w:r>
              <w:rPr>
                <w:rFonts w:ascii="Verdana" w:hAnsi="Verdana"/>
                <w:b w:val="0"/>
                <w:sz w:val="16"/>
              </w:rPr>
              <w:t>Données instrumentales satellitaires utilisées dans le traitement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47: HIRS* signifie: canaux HIRS 1 (669 cm-1) 2 (679 cm-1) 3 (690 cm-1) 4 (2358 cm-1)</w:t>
            </w:r>
          </w:p>
        </w:tc>
      </w:tr>
      <w:tr>
        <w:trPr>
          <w:cantSplit/>
        </w:trPr>
        <w:tc>
          <w:tcPr>
            <w:tcW w:type="dxa" w:w="1514"/>
          </w:tcPr>
          <w:p>
            <w:pPr>
              <w:spacing w:before="20" w:after="20"/>
            </w:pPr>
            <w:r/>
            <w:r>
              <w:rPr>
                <w:rFonts w:ascii="Verdana" w:hAnsi="Verdana"/>
                <w:b w:val="0"/>
                <w:sz w:val="16"/>
              </w:rPr>
              <w:t>0 02 022</w:t>
            </w:r>
          </w:p>
        </w:tc>
        <w:tc>
          <w:tcPr>
            <w:tcW w:type="dxa" w:w="1514"/>
          </w:tcPr>
          <w:p>
            <w:pPr>
              <w:spacing w:before="20" w:after="20"/>
            </w:pPr>
            <w:r/>
            <w:r>
              <w:rPr>
                <w:rFonts w:ascii="Verdana" w:hAnsi="Verdana"/>
                <w:b w:val="0"/>
                <w:sz w:val="16"/>
              </w:rPr>
              <w:t>Technique utilisée pour le traitement des données satellitaires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0 02 023</w:t>
            </w:r>
          </w:p>
        </w:tc>
        <w:tc>
          <w:tcPr>
            <w:tcW w:type="dxa" w:w="1514"/>
          </w:tcPr>
          <w:p>
            <w:pPr>
              <w:spacing w:before="20" w:after="20"/>
            </w:pPr>
            <w:r/>
            <w:r>
              <w:rPr>
                <w:rFonts w:ascii="Verdana" w:hAnsi="Verdana"/>
                <w:b w:val="0"/>
                <w:sz w:val="16"/>
              </w:rPr>
              <w:t>Méthode de calcul du vent à partir de données satellitaires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0 02 024</w:t>
            </w:r>
          </w:p>
        </w:tc>
        <w:tc>
          <w:tcPr>
            <w:tcW w:type="dxa" w:w="1514"/>
          </w:tcPr>
          <w:p>
            <w:pPr>
              <w:spacing w:before="20" w:after="20"/>
            </w:pPr>
            <w:r/>
            <w:r>
              <w:rPr>
                <w:rFonts w:ascii="Verdana" w:hAnsi="Verdana"/>
                <w:b w:val="0"/>
                <w:sz w:val="16"/>
              </w:rPr>
              <w:t>Méthode de calcul de l'humidité moyenne intégrée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0 02 025</w:t>
            </w:r>
          </w:p>
        </w:tc>
        <w:tc>
          <w:tcPr>
            <w:tcW w:type="dxa" w:w="1514"/>
          </w:tcPr>
          <w:p>
            <w:pPr>
              <w:spacing w:before="20" w:after="20"/>
            </w:pPr>
            <w:r/>
            <w:r>
              <w:rPr>
                <w:rFonts w:ascii="Verdana" w:hAnsi="Verdana"/>
                <w:b w:val="0"/>
                <w:sz w:val="16"/>
              </w:rPr>
              <w:t>Canal/canaux de satellite utilisé(s) pour les calculs d'indicateurs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0 02 026</w:t>
            </w:r>
          </w:p>
        </w:tc>
        <w:tc>
          <w:tcPr>
            <w:tcW w:type="dxa" w:w="1514"/>
          </w:tcPr>
          <w:p>
            <w:pPr>
              <w:spacing w:before="20" w:after="20"/>
            </w:pPr>
            <w:r/>
            <w:r>
              <w:rPr>
                <w:rFonts w:ascii="Verdana" w:hAnsi="Verdana"/>
                <w:b w:val="0"/>
                <w:sz w:val="16"/>
              </w:rPr>
              <w:t>Résolution en travers de la trajectoire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0 02 027</w:t>
            </w:r>
          </w:p>
        </w:tc>
        <w:tc>
          <w:tcPr>
            <w:tcW w:type="dxa" w:w="1514"/>
          </w:tcPr>
          <w:p>
            <w:pPr>
              <w:spacing w:before="20" w:after="20"/>
            </w:pPr>
            <w:r/>
            <w:r>
              <w:rPr>
                <w:rFonts w:ascii="Verdana" w:hAnsi="Verdana"/>
                <w:b w:val="0"/>
                <w:sz w:val="16"/>
              </w:rPr>
              <w:t>Résolution dans le sens de la route du satellite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0 02 028</w:t>
            </w:r>
          </w:p>
        </w:tc>
        <w:tc>
          <w:tcPr>
            <w:tcW w:type="dxa" w:w="1514"/>
          </w:tcPr>
          <w:p>
            <w:pPr>
              <w:spacing w:before="20" w:after="20"/>
            </w:pPr>
            <w:r/>
            <w:r>
              <w:rPr>
                <w:rFonts w:ascii="Verdana" w:hAnsi="Verdana"/>
                <w:b w:val="0"/>
                <w:sz w:val="16"/>
              </w:rPr>
              <w:t>Dimension du secteur au nadir en coordonnée 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0 02 029</w:t>
            </w:r>
          </w:p>
        </w:tc>
        <w:tc>
          <w:tcPr>
            <w:tcW w:type="dxa" w:w="1514"/>
          </w:tcPr>
          <w:p>
            <w:pPr>
              <w:spacing w:before="20" w:after="20"/>
            </w:pPr>
            <w:r/>
            <w:r>
              <w:rPr>
                <w:rFonts w:ascii="Verdana" w:hAnsi="Verdana"/>
                <w:b w:val="0"/>
                <w:sz w:val="16"/>
              </w:rPr>
              <w:t>Dimension du secteur au nadir en coordonnée 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0 02 030</w:t>
            </w:r>
          </w:p>
        </w:tc>
        <w:tc>
          <w:tcPr>
            <w:tcW w:type="dxa" w:w="1514"/>
          </w:tcPr>
          <w:p>
            <w:pPr>
              <w:spacing w:before="20" w:after="20"/>
            </w:pPr>
            <w:r/>
            <w:r>
              <w:rPr>
                <w:rFonts w:ascii="Verdana" w:hAnsi="Verdana"/>
                <w:b w:val="0"/>
                <w:sz w:val="16"/>
              </w:rPr>
              <w:t>Méthode de mesure du courant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0 02 031</w:t>
            </w:r>
          </w:p>
        </w:tc>
        <w:tc>
          <w:tcPr>
            <w:tcW w:type="dxa" w:w="1514"/>
          </w:tcPr>
          <w:p>
            <w:pPr>
              <w:spacing w:before="20" w:after="20"/>
            </w:pPr>
            <w:r/>
            <w:r>
              <w:rPr>
                <w:rFonts w:ascii="Verdana" w:hAnsi="Verdana"/>
                <w:b w:val="0"/>
                <w:sz w:val="16"/>
              </w:rPr>
              <w:t>Durée et heure de la mesure du courant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0 02 032</w:t>
            </w:r>
          </w:p>
        </w:tc>
        <w:tc>
          <w:tcPr>
            <w:tcW w:type="dxa" w:w="1514"/>
          </w:tcPr>
          <w:p>
            <w:pPr>
              <w:spacing w:before="20" w:after="20"/>
            </w:pPr>
            <w:r/>
            <w:r>
              <w:rPr>
                <w:rFonts w:ascii="Verdana" w:hAnsi="Verdana"/>
                <w:b w:val="0"/>
                <w:sz w:val="16"/>
              </w:rPr>
              <w:t>Indicateur de numérisation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0 02 033</w:t>
            </w:r>
          </w:p>
        </w:tc>
        <w:tc>
          <w:tcPr>
            <w:tcW w:type="dxa" w:w="1514"/>
          </w:tcPr>
          <w:p>
            <w:pPr>
              <w:spacing w:before="20" w:after="20"/>
            </w:pPr>
            <w:r/>
            <w:r>
              <w:rPr>
                <w:rFonts w:ascii="Verdana" w:hAnsi="Verdana"/>
                <w:b w:val="0"/>
                <w:sz w:val="16"/>
              </w:rPr>
              <w:t>Méthode de mesure de la salinité en fonction de la profondeur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0 02 034</w:t>
            </w:r>
          </w:p>
        </w:tc>
        <w:tc>
          <w:tcPr>
            <w:tcW w:type="dxa" w:w="1514"/>
          </w:tcPr>
          <w:p>
            <w:pPr>
              <w:spacing w:before="20" w:after="20"/>
            </w:pPr>
            <w:r/>
            <w:r>
              <w:rPr>
                <w:rFonts w:ascii="Verdana" w:hAnsi="Verdana"/>
                <w:b w:val="0"/>
                <w:sz w:val="16"/>
              </w:rPr>
              <w:t>Type de lest (stabilisateur)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0 02 035</w:t>
            </w:r>
          </w:p>
        </w:tc>
        <w:tc>
          <w:tcPr>
            <w:tcW w:type="dxa" w:w="1514"/>
          </w:tcPr>
          <w:p>
            <w:pPr>
              <w:spacing w:before="20" w:after="20"/>
            </w:pPr>
            <w:r/>
            <w:r>
              <w:rPr>
                <w:rFonts w:ascii="Verdana" w:hAnsi="Verdana"/>
                <w:b w:val="0"/>
                <w:sz w:val="16"/>
              </w:rPr>
              <w:t>Longueur du câble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0 02 036</w:t>
            </w:r>
          </w:p>
        </w:tc>
        <w:tc>
          <w:tcPr>
            <w:tcW w:type="dxa" w:w="1514"/>
          </w:tcPr>
          <w:p>
            <w:pPr>
              <w:spacing w:before="20" w:after="20"/>
            </w:pPr>
            <w:r/>
            <w:r>
              <w:rPr>
                <w:rFonts w:ascii="Verdana" w:hAnsi="Verdana"/>
                <w:b w:val="0"/>
                <w:sz w:val="16"/>
              </w:rPr>
              <w:t>Type de bouée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0 02 037</w:t>
            </w:r>
          </w:p>
        </w:tc>
        <w:tc>
          <w:tcPr>
            <w:tcW w:type="dxa" w:w="1514"/>
          </w:tcPr>
          <w:p>
            <w:pPr>
              <w:spacing w:before="20" w:after="20"/>
            </w:pPr>
            <w:r/>
            <w:r>
              <w:rPr>
                <w:rFonts w:ascii="Verdana" w:hAnsi="Verdana"/>
                <w:b w:val="0"/>
                <w:sz w:val="16"/>
              </w:rPr>
              <w:t>Méthode d'observation des marées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0 02 038</w:t>
            </w:r>
          </w:p>
        </w:tc>
        <w:tc>
          <w:tcPr>
            <w:tcW w:type="dxa" w:w="1514"/>
          </w:tcPr>
          <w:p>
            <w:pPr>
              <w:spacing w:before="20" w:after="20"/>
            </w:pPr>
            <w:r/>
            <w:r>
              <w:rPr>
                <w:rFonts w:ascii="Verdana" w:hAnsi="Verdana"/>
                <w:b w:val="0"/>
                <w:sz w:val="16"/>
              </w:rPr>
              <w:t>Méthode de mesure de la température et/ou de la salinité de l'eau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0 02 039</w:t>
            </w:r>
          </w:p>
        </w:tc>
        <w:tc>
          <w:tcPr>
            <w:tcW w:type="dxa" w:w="1514"/>
          </w:tcPr>
          <w:p>
            <w:pPr>
              <w:spacing w:before="20" w:after="20"/>
            </w:pPr>
            <w:r/>
            <w:r>
              <w:rPr>
                <w:rFonts w:ascii="Verdana" w:hAnsi="Verdana"/>
                <w:b w:val="0"/>
                <w:sz w:val="16"/>
              </w:rPr>
              <w:t>Méthode de mesure de la température du thermomètre mouillé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0 02 040</w:t>
            </w:r>
          </w:p>
        </w:tc>
        <w:tc>
          <w:tcPr>
            <w:tcW w:type="dxa" w:w="1514"/>
          </w:tcPr>
          <w:p>
            <w:pPr>
              <w:spacing w:before="20" w:after="20"/>
            </w:pPr>
            <w:r/>
            <w:r>
              <w:rPr>
                <w:rFonts w:ascii="Verdana" w:hAnsi="Verdana"/>
                <w:b w:val="0"/>
                <w:sz w:val="16"/>
              </w:rPr>
              <w:t>Méthode d'élimination des effets de la vitesse et du mouvement de la plate-forme dans les mesures de courant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0 02 041</w:t>
            </w:r>
          </w:p>
        </w:tc>
        <w:tc>
          <w:tcPr>
            <w:tcW w:type="dxa" w:w="1514"/>
          </w:tcPr>
          <w:p>
            <w:pPr>
              <w:spacing w:before="20" w:after="20"/>
            </w:pPr>
            <w:r/>
            <w:r>
              <w:rPr>
                <w:rFonts w:ascii="Verdana" w:hAnsi="Verdana"/>
                <w:b w:val="0"/>
                <w:sz w:val="16"/>
              </w:rPr>
              <w:t>Méthode d'estimation utilisée pour les comptes rendus relatifs aux caractéristiques synoptiques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0 02 042</w:t>
            </w:r>
          </w:p>
        </w:tc>
        <w:tc>
          <w:tcPr>
            <w:tcW w:type="dxa" w:w="1514"/>
          </w:tcPr>
          <w:p>
            <w:pPr>
              <w:spacing w:before="20" w:after="20"/>
            </w:pPr>
            <w:r/>
            <w:r>
              <w:rPr>
                <w:rFonts w:ascii="Verdana" w:hAnsi="Verdana"/>
                <w:b w:val="0"/>
                <w:sz w:val="16"/>
              </w:rPr>
              <w:t>Indicateur de l'unité de vitesse du courant marin de surface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0 02 044</w:t>
            </w:r>
          </w:p>
        </w:tc>
        <w:tc>
          <w:tcPr>
            <w:tcW w:type="dxa" w:w="1514"/>
          </w:tcPr>
          <w:p>
            <w:pPr>
              <w:spacing w:before="20" w:after="20"/>
            </w:pPr>
            <w:r/>
            <w:r>
              <w:rPr>
                <w:rFonts w:ascii="Verdana" w:hAnsi="Verdana"/>
                <w:b w:val="0"/>
                <w:sz w:val="16"/>
              </w:rPr>
              <w:t>Indicateur destiné à préciser la méthode de calcul des données spectrales concernant les vagues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0 02 045</w:t>
            </w:r>
          </w:p>
        </w:tc>
        <w:tc>
          <w:tcPr>
            <w:tcW w:type="dxa" w:w="1514"/>
          </w:tcPr>
          <w:p>
            <w:pPr>
              <w:spacing w:before="20" w:after="20"/>
            </w:pPr>
            <w:r/>
            <w:r>
              <w:rPr>
                <w:rFonts w:ascii="Verdana" w:hAnsi="Verdana"/>
                <w:b w:val="0"/>
                <w:sz w:val="16"/>
              </w:rPr>
              <w:t>Indicateur destiné à préciser le type de plate-forme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0 02 046</w:t>
            </w:r>
          </w:p>
        </w:tc>
        <w:tc>
          <w:tcPr>
            <w:tcW w:type="dxa" w:w="1514"/>
          </w:tcPr>
          <w:p>
            <w:pPr>
              <w:spacing w:before="20" w:after="20"/>
            </w:pPr>
            <w:r/>
            <w:r>
              <w:rPr>
                <w:rFonts w:ascii="Verdana" w:hAnsi="Verdana"/>
                <w:b w:val="0"/>
                <w:sz w:val="16"/>
              </w:rPr>
              <w:t>Instruments de mesure des vagues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0 02 047</w:t>
            </w:r>
          </w:p>
        </w:tc>
        <w:tc>
          <w:tcPr>
            <w:tcW w:type="dxa" w:w="1514"/>
          </w:tcPr>
          <w:p>
            <w:pPr>
              <w:spacing w:before="20" w:after="20"/>
            </w:pPr>
            <w:r/>
            <w:r>
              <w:rPr>
                <w:rFonts w:ascii="Verdana" w:hAnsi="Verdana"/>
                <w:b w:val="0"/>
                <w:sz w:val="16"/>
              </w:rPr>
              <w:t>Type du tsunamimètre installé à grande profondeur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0 02 048</w:t>
            </w:r>
          </w:p>
        </w:tc>
        <w:tc>
          <w:tcPr>
            <w:tcW w:type="dxa" w:w="1514"/>
          </w:tcPr>
          <w:p>
            <w:pPr>
              <w:spacing w:before="20" w:after="20"/>
            </w:pPr>
            <w:r/>
            <w:r>
              <w:rPr>
                <w:rFonts w:ascii="Verdana" w:hAnsi="Verdana"/>
                <w:b w:val="0"/>
                <w:sz w:val="16"/>
              </w:rPr>
              <w:t>Indicateur de détecteur de satellite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0 02 049</w:t>
            </w:r>
          </w:p>
        </w:tc>
        <w:tc>
          <w:tcPr>
            <w:tcW w:type="dxa" w:w="1514"/>
          </w:tcPr>
          <w:p>
            <w:pPr>
              <w:spacing w:before="20" w:after="20"/>
            </w:pPr>
            <w:r/>
            <w:r>
              <w:rPr>
                <w:rFonts w:ascii="Verdana" w:hAnsi="Verdana"/>
                <w:b w:val="0"/>
                <w:sz w:val="16"/>
              </w:rPr>
              <w:t>Technique utilisée pour le traitement des données de satellite géostationnaire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0 02 050</w:t>
            </w:r>
          </w:p>
        </w:tc>
        <w:tc>
          <w:tcPr>
            <w:tcW w:type="dxa" w:w="1514"/>
          </w:tcPr>
          <w:p>
            <w:pPr>
              <w:spacing w:before="20" w:after="20"/>
            </w:pPr>
            <w:r/>
            <w:r>
              <w:rPr>
                <w:rFonts w:ascii="Verdana" w:hAnsi="Verdana"/>
                <w:b w:val="0"/>
                <w:sz w:val="16"/>
              </w:rPr>
              <w:t>Canaux utilisés par le sondeur du satellite géostationnaire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0 02 051</w:t>
            </w:r>
          </w:p>
        </w:tc>
        <w:tc>
          <w:tcPr>
            <w:tcW w:type="dxa" w:w="1514"/>
          </w:tcPr>
          <w:p>
            <w:pPr>
              <w:spacing w:before="20" w:after="20"/>
            </w:pPr>
            <w:r/>
            <w:r>
              <w:rPr>
                <w:rFonts w:ascii="Verdana" w:hAnsi="Verdana"/>
                <w:b w:val="0"/>
                <w:sz w:val="16"/>
              </w:rPr>
              <w:t>Indicateur servant à préciser la méthode d'observation des températures extrêmes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0 02 052</w:t>
            </w:r>
          </w:p>
        </w:tc>
        <w:tc>
          <w:tcPr>
            <w:tcW w:type="dxa" w:w="1514"/>
          </w:tcPr>
          <w:p>
            <w:pPr>
              <w:spacing w:before="20" w:after="20"/>
            </w:pPr>
            <w:r/>
            <w:r>
              <w:rPr>
                <w:rFonts w:ascii="Verdana" w:hAnsi="Verdana"/>
                <w:b w:val="0"/>
                <w:sz w:val="16"/>
              </w:rPr>
              <w:t>Canaux utilisés par l'imageur du satellite géostationnaire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0 02 053</w:t>
            </w:r>
          </w:p>
        </w:tc>
        <w:tc>
          <w:tcPr>
            <w:tcW w:type="dxa" w:w="1514"/>
          </w:tcPr>
          <w:p>
            <w:pPr>
              <w:spacing w:before="20" w:after="20"/>
            </w:pPr>
            <w:r/>
            <w:r>
              <w:rPr>
                <w:rFonts w:ascii="Verdana" w:hAnsi="Verdana"/>
                <w:b w:val="0"/>
                <w:sz w:val="16"/>
              </w:rPr>
              <w:t>Caractéristiques de la température de luminance observée par satellite GOES-I/M</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0 02 054</w:t>
            </w:r>
          </w:p>
        </w:tc>
        <w:tc>
          <w:tcPr>
            <w:tcW w:type="dxa" w:w="1514"/>
          </w:tcPr>
          <w:p>
            <w:pPr>
              <w:spacing w:before="20" w:after="20"/>
            </w:pPr>
            <w:r/>
            <w:r>
              <w:rPr>
                <w:rFonts w:ascii="Verdana" w:hAnsi="Verdana"/>
                <w:b w:val="0"/>
                <w:sz w:val="16"/>
              </w:rPr>
              <w:t>Caractéristiques des paramètres de sondages effectués par satellite GOES-I/M</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0 02 055</w:t>
            </w:r>
          </w:p>
        </w:tc>
        <w:tc>
          <w:tcPr>
            <w:tcW w:type="dxa" w:w="1514"/>
          </w:tcPr>
          <w:p>
            <w:pPr>
              <w:spacing w:before="20" w:after="20"/>
            </w:pPr>
            <w:r/>
            <w:r>
              <w:rPr>
                <w:rFonts w:ascii="Verdana" w:hAnsi="Verdana"/>
                <w:b w:val="0"/>
                <w:sz w:val="16"/>
              </w:rPr>
              <w:t>Paramètres statistiques des sondages par satellite géostationnaire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0 02 056</w:t>
            </w:r>
          </w:p>
        </w:tc>
        <w:tc>
          <w:tcPr>
            <w:tcW w:type="dxa" w:w="1514"/>
          </w:tcPr>
          <w:p>
            <w:pPr>
              <w:spacing w:before="20" w:after="20"/>
            </w:pPr>
            <w:r/>
            <w:r>
              <w:rPr>
                <w:rFonts w:ascii="Verdana" w:hAnsi="Verdana"/>
                <w:b w:val="0"/>
                <w:sz w:val="16"/>
              </w:rPr>
              <w:t>Statistiques sur l'exactitude des sondages par satellite géostationnaire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0 02 057</w:t>
            </w:r>
          </w:p>
        </w:tc>
        <w:tc>
          <w:tcPr>
            <w:tcW w:type="dxa" w:w="1514"/>
          </w:tcPr>
          <w:p>
            <w:pPr>
              <w:spacing w:before="20" w:after="20"/>
            </w:pPr>
            <w:r/>
            <w:r>
              <w:rPr>
                <w:rFonts w:ascii="Verdana" w:hAnsi="Verdana"/>
                <w:b w:val="0"/>
                <w:sz w:val="16"/>
              </w:rPr>
              <w:t>Origine des renseignements de première approximation pour sondages par satellite GOES-I/M</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0 02 058</w:t>
            </w:r>
          </w:p>
        </w:tc>
        <w:tc>
          <w:tcPr>
            <w:tcW w:type="dxa" w:w="1514"/>
          </w:tcPr>
          <w:p>
            <w:pPr>
              <w:spacing w:before="20" w:after="20"/>
            </w:pPr>
            <w:r/>
            <w:r>
              <w:rPr>
                <w:rFonts w:ascii="Verdana" w:hAnsi="Verdana"/>
                <w:b w:val="0"/>
                <w:sz w:val="16"/>
              </w:rPr>
              <w:t>Périodes de validité des renseignements de première approximation pour sondages par satellite GOES-I/M</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0 02 059</w:t>
            </w:r>
          </w:p>
        </w:tc>
        <w:tc>
          <w:tcPr>
            <w:tcW w:type="dxa" w:w="1514"/>
          </w:tcPr>
          <w:p>
            <w:pPr>
              <w:spacing w:before="20" w:after="20"/>
            </w:pPr>
            <w:r/>
            <w:r>
              <w:rPr>
                <w:rFonts w:ascii="Verdana" w:hAnsi="Verdana"/>
                <w:b w:val="0"/>
                <w:sz w:val="16"/>
              </w:rPr>
              <w:t>Origine des renseignements d'analyse pour sondages par satellite GOES-I/M</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0 02 060</w:t>
            </w:r>
          </w:p>
        </w:tc>
        <w:tc>
          <w:tcPr>
            <w:tcW w:type="dxa" w:w="1514"/>
          </w:tcPr>
          <w:p>
            <w:pPr>
              <w:spacing w:before="20" w:after="20"/>
            </w:pPr>
            <w:r/>
            <w:r>
              <w:rPr>
                <w:rFonts w:ascii="Verdana" w:hAnsi="Verdana"/>
                <w:b w:val="0"/>
                <w:sz w:val="16"/>
              </w:rPr>
              <w:t>Origine des renseignements de surface pour sondages par satellite GOES-I/M</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0 02 061</w:t>
            </w:r>
          </w:p>
        </w:tc>
        <w:tc>
          <w:tcPr>
            <w:tcW w:type="dxa" w:w="1514"/>
          </w:tcPr>
          <w:p>
            <w:pPr>
              <w:spacing w:before="20" w:after="20"/>
            </w:pPr>
            <w:r/>
            <w:r>
              <w:rPr>
                <w:rFonts w:ascii="Verdana" w:hAnsi="Verdana"/>
                <w:b w:val="0"/>
                <w:sz w:val="16"/>
              </w:rPr>
              <w:t>Système de navigation pour l'aéronautique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0 02 062</w:t>
            </w:r>
          </w:p>
        </w:tc>
        <w:tc>
          <w:tcPr>
            <w:tcW w:type="dxa" w:w="1514"/>
          </w:tcPr>
          <w:p>
            <w:pPr>
              <w:spacing w:before="20" w:after="20"/>
            </w:pPr>
            <w:r/>
            <w:r>
              <w:rPr>
                <w:rFonts w:ascii="Verdana" w:hAnsi="Verdana"/>
                <w:b w:val="0"/>
                <w:sz w:val="16"/>
              </w:rPr>
              <w:t>Type de système de retransmission des données d'aéronef</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0 02 063</w:t>
            </w:r>
          </w:p>
        </w:tc>
        <w:tc>
          <w:tcPr>
            <w:tcW w:type="dxa" w:w="1514"/>
          </w:tcPr>
          <w:p>
            <w:pPr>
              <w:spacing w:before="20" w:after="20"/>
            </w:pPr>
            <w:r/>
            <w:r>
              <w:rPr>
                <w:rFonts w:ascii="Verdana" w:hAnsi="Verdana"/>
                <w:b w:val="0"/>
                <w:sz w:val="16"/>
              </w:rPr>
              <w:t>Angle de roulis de l'aéronef</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0 02 064</w:t>
            </w:r>
          </w:p>
        </w:tc>
        <w:tc>
          <w:tcPr>
            <w:tcW w:type="dxa" w:w="1514"/>
          </w:tcPr>
          <w:p>
            <w:pPr>
              <w:spacing w:before="20" w:after="20"/>
            </w:pPr>
            <w:r/>
            <w:r>
              <w:rPr>
                <w:rFonts w:ascii="Verdana" w:hAnsi="Verdana"/>
                <w:b w:val="0"/>
                <w:sz w:val="16"/>
              </w:rPr>
              <w:t>Qualité de l'angle de roulis de l'aéronef</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0 02 065</w:t>
            </w:r>
          </w:p>
        </w:tc>
        <w:tc>
          <w:tcPr>
            <w:tcW w:type="dxa" w:w="1514"/>
          </w:tcPr>
          <w:p>
            <w:pPr>
              <w:spacing w:before="20" w:after="20"/>
            </w:pPr>
            <w:r/>
            <w:r>
              <w:rPr>
                <w:rFonts w:ascii="Verdana" w:hAnsi="Verdana"/>
                <w:b w:val="0"/>
                <w:sz w:val="16"/>
              </w:rPr>
              <w:t>Station ACARS de réception au sol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0 02 066</w:t>
            </w:r>
          </w:p>
        </w:tc>
        <w:tc>
          <w:tcPr>
            <w:tcW w:type="dxa" w:w="1514"/>
          </w:tcPr>
          <w:p>
            <w:pPr>
              <w:spacing w:before="20" w:after="20"/>
            </w:pPr>
            <w:r/>
            <w:r>
              <w:rPr>
                <w:rFonts w:ascii="Verdana" w:hAnsi="Verdana"/>
                <w:b w:val="0"/>
                <w:sz w:val="16"/>
              </w:rPr>
              <w:t>Système de réception au sol des données de radiosondage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0 02 067</w:t>
            </w:r>
          </w:p>
        </w:tc>
        <w:tc>
          <w:tcPr>
            <w:tcW w:type="dxa" w:w="1514"/>
          </w:tcPr>
          <w:p>
            <w:pPr>
              <w:spacing w:before="20" w:after="20"/>
            </w:pPr>
            <w:r/>
            <w:r>
              <w:rPr>
                <w:rFonts w:ascii="Verdana" w:hAnsi="Verdana"/>
                <w:b w:val="0"/>
                <w:sz w:val="16"/>
              </w:rPr>
              <w:t>Fréquence de fonctionnement de la radiosonde</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0 02 070</w:t>
            </w:r>
          </w:p>
        </w:tc>
        <w:tc>
          <w:tcPr>
            <w:tcW w:type="dxa" w:w="1514"/>
          </w:tcPr>
          <w:p>
            <w:pPr>
              <w:spacing w:before="20" w:after="20"/>
            </w:pPr>
            <w:r/>
            <w:r>
              <w:rPr>
                <w:rFonts w:ascii="Verdana" w:hAnsi="Verdana"/>
                <w:b w:val="0"/>
                <w:sz w:val="16"/>
              </w:rPr>
              <w:t>Spécification originale de la latitude/longitude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0 02 071</w:t>
            </w:r>
          </w:p>
        </w:tc>
        <w:tc>
          <w:tcPr>
            <w:tcW w:type="dxa" w:w="1514"/>
          </w:tcPr>
          <w:p>
            <w:pPr>
              <w:spacing w:before="20" w:after="20"/>
            </w:pPr>
            <w:r/>
            <w:r>
              <w:rPr>
                <w:rFonts w:ascii="Verdana" w:hAnsi="Verdana"/>
                <w:b w:val="0"/>
                <w:sz w:val="16"/>
              </w:rPr>
              <w:t>Longueur d'onde spectrographique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0 02 072</w:t>
            </w:r>
          </w:p>
        </w:tc>
        <w:tc>
          <w:tcPr>
            <w:tcW w:type="dxa" w:w="1514"/>
          </w:tcPr>
          <w:p>
            <w:pPr>
              <w:spacing w:before="20" w:after="20"/>
            </w:pPr>
            <w:r/>
            <w:r>
              <w:rPr>
                <w:rFonts w:ascii="Verdana" w:hAnsi="Verdana"/>
                <w:b w:val="0"/>
                <w:sz w:val="16"/>
              </w:rPr>
              <w:t>Largeur spectrographique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0 02 080</w:t>
            </w:r>
          </w:p>
        </w:tc>
        <w:tc>
          <w:tcPr>
            <w:tcW w:type="dxa" w:w="1514"/>
          </w:tcPr>
          <w:p>
            <w:pPr>
              <w:spacing w:before="20" w:after="20"/>
            </w:pPr>
            <w:r/>
            <w:r>
              <w:rPr>
                <w:rFonts w:ascii="Verdana" w:hAnsi="Verdana"/>
                <w:b w:val="0"/>
                <w:sz w:val="16"/>
              </w:rPr>
              <w:t>Fabricant du ballon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0 02 081</w:t>
            </w:r>
          </w:p>
        </w:tc>
        <w:tc>
          <w:tcPr>
            <w:tcW w:type="dxa" w:w="1514"/>
          </w:tcPr>
          <w:p>
            <w:pPr>
              <w:spacing w:before="20" w:after="20"/>
            </w:pPr>
            <w:r/>
            <w:r>
              <w:rPr>
                <w:rFonts w:ascii="Verdana" w:hAnsi="Verdana"/>
                <w:b w:val="0"/>
                <w:sz w:val="16"/>
              </w:rPr>
              <w:t>Type de ballon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0 02 082</w:t>
            </w:r>
          </w:p>
        </w:tc>
        <w:tc>
          <w:tcPr>
            <w:tcW w:type="dxa" w:w="1514"/>
          </w:tcPr>
          <w:p>
            <w:pPr>
              <w:spacing w:before="20" w:after="20"/>
            </w:pPr>
            <w:r/>
            <w:r>
              <w:rPr>
                <w:rFonts w:ascii="Verdana" w:hAnsi="Verdana"/>
                <w:b w:val="0"/>
                <w:sz w:val="16"/>
              </w:rPr>
              <w:t>Poids du ballon</w:t>
            </w:r>
          </w:p>
        </w:tc>
        <w:tc>
          <w:tcPr>
            <w:tcW w:type="dxa" w:w="1514"/>
          </w:tcPr>
          <w:p>
            <w:pPr>
              <w:spacing w:before="20" w:after="20"/>
            </w:pPr>
            <w:r/>
            <w:r>
              <w:rPr>
                <w:rFonts w:ascii="Verdana" w:hAnsi="Verdana"/>
                <w:sz w:val="16"/>
              </w:rPr>
              <w:t>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0 02 083</w:t>
            </w:r>
          </w:p>
        </w:tc>
        <w:tc>
          <w:tcPr>
            <w:tcW w:type="dxa" w:w="1514"/>
          </w:tcPr>
          <w:p>
            <w:pPr>
              <w:spacing w:before="20" w:after="20"/>
            </w:pPr>
            <w:r/>
            <w:r>
              <w:rPr>
                <w:rFonts w:ascii="Verdana" w:hAnsi="Verdana"/>
                <w:b w:val="0"/>
                <w:sz w:val="16"/>
              </w:rPr>
              <w:t>Type d'abri de gonflement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0 02 084</w:t>
            </w:r>
          </w:p>
        </w:tc>
        <w:tc>
          <w:tcPr>
            <w:tcW w:type="dxa" w:w="1514"/>
          </w:tcPr>
          <w:p>
            <w:pPr>
              <w:spacing w:before="20" w:after="20"/>
            </w:pPr>
            <w:r/>
            <w:r>
              <w:rPr>
                <w:rFonts w:ascii="Verdana" w:hAnsi="Verdana"/>
                <w:b w:val="0"/>
                <w:sz w:val="16"/>
              </w:rPr>
              <w:t>Type de gaz insufflé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0 02 085</w:t>
            </w:r>
          </w:p>
        </w:tc>
        <w:tc>
          <w:tcPr>
            <w:tcW w:type="dxa" w:w="1514"/>
          </w:tcPr>
          <w:p>
            <w:pPr>
              <w:spacing w:before="20" w:after="20"/>
            </w:pPr>
            <w:r/>
            <w:r>
              <w:rPr>
                <w:rFonts w:ascii="Verdana" w:hAnsi="Verdana"/>
                <w:b w:val="0"/>
                <w:sz w:val="16"/>
              </w:rPr>
              <w:t>Quantité de gaz insufflée</w:t>
            </w:r>
          </w:p>
        </w:tc>
        <w:tc>
          <w:tcPr>
            <w:tcW w:type="dxa" w:w="1514"/>
          </w:tcPr>
          <w:p>
            <w:pPr>
              <w:spacing w:before="20" w:after="20"/>
            </w:pPr>
            <w:r/>
            <w:r>
              <w:rPr>
                <w:rFonts w:ascii="Verdana" w:hAnsi="Verdana"/>
                <w:sz w:val="16"/>
              </w:rPr>
              <w:t>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0 02 086</w:t>
            </w:r>
          </w:p>
        </w:tc>
        <w:tc>
          <w:tcPr>
            <w:tcW w:type="dxa" w:w="1514"/>
          </w:tcPr>
          <w:p>
            <w:pPr>
              <w:spacing w:before="20" w:after="20"/>
            </w:pPr>
            <w:r/>
            <w:r>
              <w:rPr>
                <w:rFonts w:ascii="Verdana" w:hAnsi="Verdana"/>
                <w:b w:val="0"/>
                <w:sz w:val="16"/>
              </w:rPr>
              <w:t>Longueur de la traîne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0 02 087</w:t>
            </w:r>
          </w:p>
        </w:tc>
        <w:tc>
          <w:tcPr>
            <w:tcW w:type="dxa" w:w="1514"/>
          </w:tcPr>
          <w:p>
            <w:pPr>
              <w:spacing w:before="20" w:after="20"/>
            </w:pPr>
            <w:r/>
            <w:r>
              <w:rPr>
                <w:rFonts w:ascii="Verdana" w:hAnsi="Verdana"/>
                <w:b w:val="0"/>
                <w:sz w:val="16"/>
              </w:rPr>
              <w:t>Surface du parachute</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0 02 088</w:t>
            </w:r>
          </w:p>
        </w:tc>
        <w:tc>
          <w:tcPr>
            <w:tcW w:type="dxa" w:w="1514"/>
          </w:tcPr>
          <w:p>
            <w:pPr>
              <w:spacing w:before="20" w:after="20"/>
            </w:pPr>
            <w:r/>
            <w:r>
              <w:rPr>
                <w:rFonts w:ascii="Verdana" w:hAnsi="Verdana"/>
                <w:b w:val="0"/>
                <w:sz w:val="16"/>
              </w:rPr>
              <w:t>Volume de gaz dans le ballon</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0 02 091</w:t>
            </w:r>
          </w:p>
        </w:tc>
        <w:tc>
          <w:tcPr>
            <w:tcW w:type="dxa" w:w="1514"/>
          </w:tcPr>
          <w:p>
            <w:pPr>
              <w:spacing w:before="20" w:after="20"/>
            </w:pPr>
            <w:r/>
            <w:r>
              <w:rPr>
                <w:rFonts w:ascii="Verdana" w:hAnsi="Verdana"/>
                <w:b w:val="0"/>
                <w:sz w:val="16"/>
              </w:rPr>
              <w:t>Capteur d'entrée 4/20 mA</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0 02 092</w:t>
            </w:r>
          </w:p>
        </w:tc>
        <w:tc>
          <w:tcPr>
            <w:tcW w:type="dxa" w:w="1514"/>
          </w:tcPr>
          <w:p>
            <w:pPr>
              <w:spacing w:before="20" w:after="20"/>
            </w:pPr>
            <w:r/>
            <w:r>
              <w:rPr>
                <w:rFonts w:ascii="Verdana" w:hAnsi="Verdana"/>
                <w:b w:val="0"/>
                <w:sz w:val="16"/>
              </w:rPr>
              <w:t>Méthode de calcul du profil de l'ozone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0 02 095</w:t>
            </w:r>
          </w:p>
        </w:tc>
        <w:tc>
          <w:tcPr>
            <w:tcW w:type="dxa" w:w="1514"/>
          </w:tcPr>
          <w:p>
            <w:pPr>
              <w:spacing w:before="20" w:after="20"/>
            </w:pPr>
            <w:r/>
            <w:r>
              <w:rPr>
                <w:rFonts w:ascii="Verdana" w:hAnsi="Verdana"/>
                <w:b w:val="0"/>
                <w:sz w:val="16"/>
              </w:rPr>
              <w:t>Type de capteur de pression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0 02 096</w:t>
            </w:r>
          </w:p>
        </w:tc>
        <w:tc>
          <w:tcPr>
            <w:tcW w:type="dxa" w:w="1514"/>
          </w:tcPr>
          <w:p>
            <w:pPr>
              <w:spacing w:before="20" w:after="20"/>
            </w:pPr>
            <w:r/>
            <w:r>
              <w:rPr>
                <w:rFonts w:ascii="Verdana" w:hAnsi="Verdana"/>
                <w:b w:val="0"/>
                <w:sz w:val="16"/>
              </w:rPr>
              <w:t>Type de capteur de température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0 02 097</w:t>
            </w:r>
          </w:p>
        </w:tc>
        <w:tc>
          <w:tcPr>
            <w:tcW w:type="dxa" w:w="1514"/>
          </w:tcPr>
          <w:p>
            <w:pPr>
              <w:spacing w:before="20" w:after="20"/>
            </w:pPr>
            <w:r/>
            <w:r>
              <w:rPr>
                <w:rFonts w:ascii="Verdana" w:hAnsi="Verdana"/>
                <w:b w:val="0"/>
                <w:sz w:val="16"/>
              </w:rPr>
              <w:t>Type de capteur d'humidité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0 02 099</w:t>
            </w:r>
          </w:p>
        </w:tc>
        <w:tc>
          <w:tcPr>
            <w:tcW w:type="dxa" w:w="1514"/>
          </w:tcPr>
          <w:p>
            <w:pPr>
              <w:spacing w:before="20" w:after="20"/>
            </w:pPr>
            <w:r/>
            <w:r>
              <w:rPr>
                <w:rFonts w:ascii="Verdana" w:hAnsi="Verdana"/>
                <w:b w:val="0"/>
                <w:sz w:val="16"/>
              </w:rPr>
              <w:t>Polarisation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0 02 100</w:t>
            </w:r>
          </w:p>
        </w:tc>
        <w:tc>
          <w:tcPr>
            <w:tcW w:type="dxa" w:w="1514"/>
          </w:tcPr>
          <w:p>
            <w:pPr>
              <w:spacing w:before="20" w:after="20"/>
            </w:pPr>
            <w:r/>
            <w:r>
              <w:rPr>
                <w:rFonts w:ascii="Verdana" w:hAnsi="Verdana"/>
                <w:b w:val="0"/>
                <w:sz w:val="16"/>
              </w:rPr>
              <w:t>Constante radar</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(voir Note 9)</w:t>
            </w:r>
          </w:p>
        </w:tc>
      </w:tr>
      <w:tr>
        <w:trPr>
          <w:cantSplit/>
        </w:trPr>
        <w:tc>
          <w:tcPr>
            <w:tcW w:type="dxa" w:w="1514"/>
          </w:tcPr>
          <w:p>
            <w:pPr>
              <w:spacing w:before="20" w:after="20"/>
            </w:pPr>
            <w:r/>
            <w:r>
              <w:rPr>
                <w:rFonts w:ascii="Verdana" w:hAnsi="Verdana"/>
                <w:b w:val="0"/>
                <w:sz w:val="16"/>
              </w:rPr>
              <w:t>0 02 101</w:t>
            </w:r>
          </w:p>
        </w:tc>
        <w:tc>
          <w:tcPr>
            <w:tcW w:type="dxa" w:w="1514"/>
          </w:tcPr>
          <w:p>
            <w:pPr>
              <w:spacing w:before="20" w:after="20"/>
            </w:pPr>
            <w:r/>
            <w:r>
              <w:rPr>
                <w:rFonts w:ascii="Verdana" w:hAnsi="Verdana"/>
                <w:b w:val="0"/>
                <w:sz w:val="16"/>
              </w:rPr>
              <w:t>Type d'antenne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0 02 102</w:t>
            </w:r>
          </w:p>
        </w:tc>
        <w:tc>
          <w:tcPr>
            <w:tcW w:type="dxa" w:w="1514"/>
          </w:tcPr>
          <w:p>
            <w:pPr>
              <w:spacing w:before="20" w:after="20"/>
            </w:pPr>
            <w:r/>
            <w:r>
              <w:rPr>
                <w:rFonts w:ascii="Verdana" w:hAnsi="Verdana"/>
                <w:b w:val="0"/>
                <w:sz w:val="16"/>
              </w:rPr>
              <w:t>Hauteur de l'antenne au-dessus de la base de la tour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0 02 103</w:t>
            </w:r>
          </w:p>
        </w:tc>
        <w:tc>
          <w:tcPr>
            <w:tcW w:type="dxa" w:w="1514"/>
          </w:tcPr>
          <w:p>
            <w:pPr>
              <w:spacing w:before="20" w:after="20"/>
            </w:pPr>
            <w:r/>
            <w:r>
              <w:rPr>
                <w:rFonts w:ascii="Verdana" w:hAnsi="Verdana"/>
                <w:b w:val="0"/>
                <w:sz w:val="16"/>
              </w:rPr>
              <w:t>Radôme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0 02 104</w:t>
            </w:r>
          </w:p>
        </w:tc>
        <w:tc>
          <w:tcPr>
            <w:tcW w:type="dxa" w:w="1514"/>
          </w:tcPr>
          <w:p>
            <w:pPr>
              <w:spacing w:before="20" w:after="20"/>
            </w:pPr>
            <w:r/>
            <w:r>
              <w:rPr>
                <w:rFonts w:ascii="Verdana" w:hAnsi="Verdana"/>
                <w:b w:val="0"/>
                <w:sz w:val="16"/>
              </w:rPr>
              <w:t>Polarisation de l'antenne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0 02 105</w:t>
            </w:r>
          </w:p>
        </w:tc>
        <w:tc>
          <w:tcPr>
            <w:tcW w:type="dxa" w:w="1514"/>
          </w:tcPr>
          <w:p>
            <w:pPr>
              <w:spacing w:before="20" w:after="20"/>
            </w:pPr>
            <w:r/>
            <w:r>
              <w:rPr>
                <w:rFonts w:ascii="Verdana" w:hAnsi="Verdana"/>
                <w:b w:val="0"/>
                <w:sz w:val="16"/>
              </w:rPr>
              <w:t>Gain maximal de l'antenne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0 02 106</w:t>
            </w:r>
          </w:p>
        </w:tc>
        <w:tc>
          <w:tcPr>
            <w:tcW w:type="dxa" w:w="1514"/>
          </w:tcPr>
          <w:p>
            <w:pPr>
              <w:spacing w:before="20" w:after="20"/>
            </w:pPr>
            <w:r/>
            <w:r>
              <w:rPr>
                <w:rFonts w:ascii="Verdana" w:hAnsi="Verdana"/>
                <w:b w:val="0"/>
                <w:sz w:val="16"/>
              </w:rPr>
              <w:t>Ouverture de faisceau à 3 dB</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0 02 107</w:t>
            </w:r>
          </w:p>
        </w:tc>
        <w:tc>
          <w:tcPr>
            <w:tcW w:type="dxa" w:w="1514"/>
          </w:tcPr>
          <w:p>
            <w:pPr>
              <w:spacing w:before="20" w:after="20"/>
            </w:pPr>
            <w:r/>
            <w:r>
              <w:rPr>
                <w:rFonts w:ascii="Verdana" w:hAnsi="Verdana"/>
                <w:b w:val="0"/>
                <w:sz w:val="16"/>
              </w:rPr>
              <w:t>Suppression des lobes latéraux</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0 02 108</w:t>
            </w:r>
          </w:p>
        </w:tc>
        <w:tc>
          <w:tcPr>
            <w:tcW w:type="dxa" w:w="1514"/>
          </w:tcPr>
          <w:p>
            <w:pPr>
              <w:spacing w:before="20" w:after="20"/>
            </w:pPr>
            <w:r/>
            <w:r>
              <w:rPr>
                <w:rFonts w:ascii="Verdana" w:hAnsi="Verdana"/>
                <w:b w:val="0"/>
                <w:sz w:val="16"/>
              </w:rPr>
              <w:t>Rapport de découplage de polarisation croisée dans l'axe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0 02 109</w:t>
            </w:r>
          </w:p>
        </w:tc>
        <w:tc>
          <w:tcPr>
            <w:tcW w:type="dxa" w:w="1514"/>
          </w:tcPr>
          <w:p>
            <w:pPr>
              <w:spacing w:before="20" w:after="20"/>
            </w:pPr>
            <w:r/>
            <w:r>
              <w:rPr>
                <w:rFonts w:ascii="Verdana" w:hAnsi="Verdana"/>
                <w:b w:val="0"/>
                <w:sz w:val="16"/>
              </w:rPr>
              <w:t>Vitesse angulaire de l'antenne (en azimut)</w:t>
            </w:r>
          </w:p>
        </w:tc>
        <w:tc>
          <w:tcPr>
            <w:tcW w:type="dxa" w:w="1514"/>
          </w:tcPr>
          <w:p>
            <w:pPr>
              <w:spacing w:before="20" w:after="20"/>
            </w:pPr>
            <w:r/>
            <w:r>
              <w:rPr>
                <w:rFonts w:ascii="Verdana" w:hAnsi="Verdana"/>
                <w:sz w:val="16"/>
              </w:rPr>
              <w:t>deg/s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0 02 110</w:t>
            </w:r>
          </w:p>
        </w:tc>
        <w:tc>
          <w:tcPr>
            <w:tcW w:type="dxa" w:w="1514"/>
          </w:tcPr>
          <w:p>
            <w:pPr>
              <w:spacing w:before="20" w:after="20"/>
            </w:pPr>
            <w:r/>
            <w:r>
              <w:rPr>
                <w:rFonts w:ascii="Verdana" w:hAnsi="Verdana"/>
                <w:b w:val="0"/>
                <w:sz w:val="16"/>
              </w:rPr>
              <w:t>Vitesse angulaire de l'antenne (en élévation)</w:t>
            </w:r>
          </w:p>
        </w:tc>
        <w:tc>
          <w:tcPr>
            <w:tcW w:type="dxa" w:w="1514"/>
          </w:tcPr>
          <w:p>
            <w:pPr>
              <w:spacing w:before="20" w:after="20"/>
            </w:pPr>
            <w:r/>
            <w:r>
              <w:rPr>
                <w:rFonts w:ascii="Verdana" w:hAnsi="Verdana"/>
                <w:sz w:val="16"/>
              </w:rPr>
              <w:t>deg/s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0 02 111</w:t>
            </w:r>
          </w:p>
        </w:tc>
        <w:tc>
          <w:tcPr>
            <w:tcW w:type="dxa" w:w="1514"/>
          </w:tcPr>
          <w:p>
            <w:pPr>
              <w:spacing w:before="20" w:after="20"/>
            </w:pPr>
            <w:r/>
            <w:r>
              <w:rPr>
                <w:rFonts w:ascii="Verdana" w:hAnsi="Verdana"/>
                <w:b w:val="0"/>
                <w:sz w:val="16"/>
              </w:rPr>
              <w:t>Angle d'incidence du radar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0 02 112</w:t>
            </w:r>
          </w:p>
        </w:tc>
        <w:tc>
          <w:tcPr>
            <w:tcW w:type="dxa" w:w="1514"/>
          </w:tcPr>
          <w:p>
            <w:pPr>
              <w:spacing w:before="20" w:after="20"/>
            </w:pPr>
            <w:r/>
            <w:r>
              <w:rPr>
                <w:rFonts w:ascii="Verdana" w:hAnsi="Verdana"/>
                <w:b w:val="0"/>
                <w:sz w:val="16"/>
              </w:rPr>
              <w:t>Angle d'ouverture du faisceau radar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0 02 113</w:t>
            </w:r>
          </w:p>
        </w:tc>
        <w:tc>
          <w:tcPr>
            <w:tcW w:type="dxa" w:w="1514"/>
          </w:tcPr>
          <w:p>
            <w:pPr>
              <w:spacing w:before="20" w:after="20"/>
            </w:pPr>
            <w:r/>
            <w:r>
              <w:rPr>
                <w:rFonts w:ascii="Verdana" w:hAnsi="Verdana"/>
                <w:b w:val="0"/>
                <w:sz w:val="16"/>
              </w:rPr>
              <w:t>Nombre de visées en azimut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0 02 114</w:t>
            </w:r>
          </w:p>
        </w:tc>
        <w:tc>
          <w:tcPr>
            <w:tcW w:type="dxa" w:w="1514"/>
          </w:tcPr>
          <w:p>
            <w:pPr>
              <w:spacing w:before="20" w:after="20"/>
            </w:pPr>
            <w:r/>
            <w:r>
              <w:rPr>
                <w:rFonts w:ascii="Verdana" w:hAnsi="Verdana"/>
                <w:b w:val="0"/>
                <w:sz w:val="16"/>
              </w:rPr>
              <w:t>Surface équivalente de l'antenne</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0 02 115</w:t>
            </w:r>
          </w:p>
        </w:tc>
        <w:tc>
          <w:tcPr>
            <w:tcW w:type="dxa" w:w="1514"/>
          </w:tcPr>
          <w:p>
            <w:pPr>
              <w:spacing w:before="20" w:after="20"/>
            </w:pPr>
            <w:r/>
            <w:r>
              <w:rPr>
                <w:rFonts w:ascii="Verdana" w:hAnsi="Verdana"/>
                <w:b w:val="0"/>
                <w:sz w:val="16"/>
              </w:rPr>
              <w:t>Type d'équipement d'observation en surface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0 02 116</w:t>
            </w:r>
          </w:p>
        </w:tc>
        <w:tc>
          <w:tcPr>
            <w:tcW w:type="dxa" w:w="1514"/>
          </w:tcPr>
          <w:p>
            <w:pPr>
              <w:spacing w:before="20" w:after="20"/>
            </w:pPr>
            <w:r/>
            <w:r>
              <w:rPr>
                <w:rFonts w:ascii="Verdana" w:hAnsi="Verdana"/>
                <w:b w:val="0"/>
                <w:sz w:val="16"/>
              </w:rPr>
              <w:t>Pourcentage de la bande 320 MHz traité</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0 02 117</w:t>
            </w:r>
          </w:p>
        </w:tc>
        <w:tc>
          <w:tcPr>
            <w:tcW w:type="dxa" w:w="1514"/>
          </w:tcPr>
          <w:p>
            <w:pPr>
              <w:spacing w:before="20" w:after="20"/>
            </w:pPr>
            <w:r/>
            <w:r>
              <w:rPr>
                <w:rFonts w:ascii="Verdana" w:hAnsi="Verdana"/>
                <w:b w:val="0"/>
                <w:sz w:val="16"/>
              </w:rPr>
              <w:t>Pourcentage de la bande 80 MHz traité</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0 02 118</w:t>
            </w:r>
          </w:p>
        </w:tc>
        <w:tc>
          <w:tcPr>
            <w:tcW w:type="dxa" w:w="1514"/>
          </w:tcPr>
          <w:p>
            <w:pPr>
              <w:spacing w:before="20" w:after="20"/>
            </w:pPr>
            <w:r/>
            <w:r>
              <w:rPr>
                <w:rFonts w:ascii="Verdana" w:hAnsi="Verdana"/>
                <w:b w:val="0"/>
                <w:sz w:val="16"/>
              </w:rPr>
              <w:t>Pourcentage de la bande 20 MHz traité</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0 02 119</w:t>
            </w:r>
          </w:p>
        </w:tc>
        <w:tc>
          <w:tcPr>
            <w:tcW w:type="dxa" w:w="1514"/>
          </w:tcPr>
          <w:p>
            <w:pPr>
              <w:spacing w:before="20" w:after="20"/>
            </w:pPr>
            <w:r/>
            <w:r>
              <w:rPr>
                <w:rFonts w:ascii="Verdana" w:hAnsi="Verdana"/>
                <w:b w:val="0"/>
                <w:sz w:val="16"/>
              </w:rPr>
              <w:t>Fonctionnement de l'instrument RA-2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0 02 120</w:t>
            </w:r>
          </w:p>
        </w:tc>
        <w:tc>
          <w:tcPr>
            <w:tcW w:type="dxa" w:w="1514"/>
          </w:tcPr>
          <w:p>
            <w:pPr>
              <w:spacing w:before="20" w:after="20"/>
            </w:pPr>
            <w:r/>
            <w:r>
              <w:rPr>
                <w:rFonts w:ascii="Verdana" w:hAnsi="Verdana"/>
                <w:b w:val="0"/>
                <w:sz w:val="16"/>
              </w:rPr>
              <w:t>Fréquence des vagues</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0 02 121</w:t>
            </w:r>
          </w:p>
        </w:tc>
        <w:tc>
          <w:tcPr>
            <w:tcW w:type="dxa" w:w="1514"/>
          </w:tcPr>
          <w:p>
            <w:pPr>
              <w:spacing w:before="20" w:after="20"/>
            </w:pPr>
            <w:r/>
            <w:r>
              <w:rPr>
                <w:rFonts w:ascii="Verdana" w:hAnsi="Verdana"/>
                <w:b w:val="0"/>
                <w:sz w:val="16"/>
              </w:rPr>
              <w:t>Fréquence moyenne</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0 02 122</w:t>
            </w:r>
          </w:p>
        </w:tc>
        <w:tc>
          <w:tcPr>
            <w:tcW w:type="dxa" w:w="1514"/>
          </w:tcPr>
          <w:p>
            <w:pPr>
              <w:spacing w:before="20" w:after="20"/>
            </w:pPr>
            <w:r/>
            <w:r>
              <w:rPr>
                <w:rFonts w:ascii="Verdana" w:hAnsi="Verdana"/>
                <w:b w:val="0"/>
                <w:sz w:val="16"/>
              </w:rPr>
              <w:t>Gamme d'agilité de fréquence</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0 02 123</w:t>
            </w:r>
          </w:p>
        </w:tc>
        <w:tc>
          <w:tcPr>
            <w:tcW w:type="dxa" w:w="1514"/>
          </w:tcPr>
          <w:p>
            <w:pPr>
              <w:spacing w:before="20" w:after="20"/>
            </w:pPr>
            <w:r/>
            <w:r>
              <w:rPr>
                <w:rFonts w:ascii="Verdana" w:hAnsi="Verdana"/>
                <w:b w:val="0"/>
                <w:sz w:val="16"/>
              </w:rPr>
              <w:t>Puissance de crête</w:t>
            </w:r>
          </w:p>
        </w:tc>
        <w:tc>
          <w:tcPr>
            <w:tcW w:type="dxa" w:w="1514"/>
          </w:tcPr>
          <w:p>
            <w:pPr>
              <w:spacing w:before="20" w:after="20"/>
            </w:pPr>
            <w:r/>
            <w:r>
              <w:rPr>
                <w:rFonts w:ascii="Verdana" w:hAnsi="Verdana"/>
                <w:sz w:val="16"/>
              </w:rPr>
              <w:t>W</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0 02 124</w:t>
            </w:r>
          </w:p>
        </w:tc>
        <w:tc>
          <w:tcPr>
            <w:tcW w:type="dxa" w:w="1514"/>
          </w:tcPr>
          <w:p>
            <w:pPr>
              <w:spacing w:before="20" w:after="20"/>
            </w:pPr>
            <w:r/>
            <w:r>
              <w:rPr>
                <w:rFonts w:ascii="Verdana" w:hAnsi="Verdana"/>
                <w:b w:val="0"/>
                <w:sz w:val="16"/>
              </w:rPr>
              <w:t>Puissance moyenne</w:t>
            </w:r>
          </w:p>
        </w:tc>
        <w:tc>
          <w:tcPr>
            <w:tcW w:type="dxa" w:w="1514"/>
          </w:tcPr>
          <w:p>
            <w:pPr>
              <w:spacing w:before="20" w:after="20"/>
            </w:pPr>
            <w:r/>
            <w:r>
              <w:rPr>
                <w:rFonts w:ascii="Verdana" w:hAnsi="Verdana"/>
                <w:sz w:val="16"/>
              </w:rPr>
              <w:t>W</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0 02 125</w:t>
            </w:r>
          </w:p>
        </w:tc>
        <w:tc>
          <w:tcPr>
            <w:tcW w:type="dxa" w:w="1514"/>
          </w:tcPr>
          <w:p>
            <w:pPr>
              <w:spacing w:before="20" w:after="20"/>
            </w:pPr>
            <w:r/>
            <w:r>
              <w:rPr>
                <w:rFonts w:ascii="Verdana" w:hAnsi="Verdana"/>
                <w:b w:val="0"/>
                <w:sz w:val="16"/>
              </w:rPr>
              <w:t>Fréquence de répétition des impulsions</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0 02 126</w:t>
            </w:r>
          </w:p>
        </w:tc>
        <w:tc>
          <w:tcPr>
            <w:tcW w:type="dxa" w:w="1514"/>
          </w:tcPr>
          <w:p>
            <w:pPr>
              <w:spacing w:before="20" w:after="20"/>
            </w:pPr>
            <w:r/>
            <w:r>
              <w:rPr>
                <w:rFonts w:ascii="Verdana" w:hAnsi="Verdana"/>
                <w:b w:val="0"/>
                <w:sz w:val="16"/>
              </w:rPr>
              <w:t>Largeur d'impulsion</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0 02 127</w:t>
            </w:r>
          </w:p>
        </w:tc>
        <w:tc>
          <w:tcPr>
            <w:tcW w:type="dxa" w:w="1514"/>
          </w:tcPr>
          <w:p>
            <w:pPr>
              <w:spacing w:before="20" w:after="20"/>
            </w:pPr>
            <w:r/>
            <w:r>
              <w:rPr>
                <w:rFonts w:ascii="Verdana" w:hAnsi="Verdana"/>
                <w:b w:val="0"/>
                <w:sz w:val="16"/>
              </w:rPr>
              <w:t>Fréquence intermédiaire du récepteur</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0 02 128</w:t>
            </w:r>
          </w:p>
        </w:tc>
        <w:tc>
          <w:tcPr>
            <w:tcW w:type="dxa" w:w="1514"/>
          </w:tcPr>
          <w:p>
            <w:pPr>
              <w:spacing w:before="20" w:after="20"/>
            </w:pPr>
            <w:r/>
            <w:r>
              <w:rPr>
                <w:rFonts w:ascii="Verdana" w:hAnsi="Verdana"/>
                <w:b w:val="0"/>
                <w:sz w:val="16"/>
              </w:rPr>
              <w:t>Bande passante aux fréquences intermédiaires</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0 02 129</w:t>
            </w:r>
          </w:p>
        </w:tc>
        <w:tc>
          <w:tcPr>
            <w:tcW w:type="dxa" w:w="1514"/>
          </w:tcPr>
          <w:p>
            <w:pPr>
              <w:spacing w:before="20" w:after="20"/>
            </w:pPr>
            <w:r/>
            <w:r>
              <w:rPr>
                <w:rFonts w:ascii="Verdana" w:hAnsi="Verdana"/>
                <w:b w:val="0"/>
                <w:sz w:val="16"/>
              </w:rPr>
              <w:t>Signal minimal détectable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0 02 130</w:t>
            </w:r>
          </w:p>
        </w:tc>
        <w:tc>
          <w:tcPr>
            <w:tcW w:type="dxa" w:w="1514"/>
          </w:tcPr>
          <w:p>
            <w:pPr>
              <w:spacing w:before="20" w:after="20"/>
            </w:pPr>
            <w:r/>
            <w:r>
              <w:rPr>
                <w:rFonts w:ascii="Verdana" w:hAnsi="Verdana"/>
                <w:b w:val="0"/>
                <w:sz w:val="16"/>
              </w:rPr>
              <w:t>Portée dynamique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0 02 131</w:t>
            </w:r>
          </w:p>
        </w:tc>
        <w:tc>
          <w:tcPr>
            <w:tcW w:type="dxa" w:w="1514"/>
          </w:tcPr>
          <w:p>
            <w:pPr>
              <w:spacing w:before="20" w:after="20"/>
            </w:pPr>
            <w:r/>
            <w:r>
              <w:rPr>
                <w:rFonts w:ascii="Verdana" w:hAnsi="Verdana"/>
                <w:b w:val="0"/>
                <w:sz w:val="16"/>
              </w:rPr>
              <w:t>Commande de gain variable dans le temps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0 02 132</w:t>
            </w:r>
          </w:p>
        </w:tc>
        <w:tc>
          <w:tcPr>
            <w:tcW w:type="dxa" w:w="1514"/>
          </w:tcPr>
          <w:p>
            <w:pPr>
              <w:spacing w:before="20" w:after="20"/>
            </w:pPr>
            <w:r/>
            <w:r>
              <w:rPr>
                <w:rFonts w:ascii="Verdana" w:hAnsi="Verdana"/>
                <w:b w:val="0"/>
                <w:sz w:val="16"/>
              </w:rPr>
              <w:t>Exactitude du pointage en azimut</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0 02 133</w:t>
            </w:r>
          </w:p>
        </w:tc>
        <w:tc>
          <w:tcPr>
            <w:tcW w:type="dxa" w:w="1514"/>
          </w:tcPr>
          <w:p>
            <w:pPr>
              <w:spacing w:before="20" w:after="20"/>
            </w:pPr>
            <w:r/>
            <w:r>
              <w:rPr>
                <w:rFonts w:ascii="Verdana" w:hAnsi="Verdana"/>
                <w:b w:val="0"/>
                <w:sz w:val="16"/>
              </w:rPr>
              <w:t>Exactitude de l'angle de site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0 02 134</w:t>
            </w:r>
          </w:p>
        </w:tc>
        <w:tc>
          <w:tcPr>
            <w:tcW w:type="dxa" w:w="1514"/>
          </w:tcPr>
          <w:p>
            <w:pPr>
              <w:spacing w:before="20" w:after="20"/>
            </w:pPr>
            <w:r/>
            <w:r>
              <w:rPr>
                <w:rFonts w:ascii="Verdana" w:hAnsi="Verdana"/>
                <w:b w:val="0"/>
                <w:sz w:val="16"/>
              </w:rPr>
              <w:t>Azimut du faisceau d'antenne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0 02 135</w:t>
            </w:r>
          </w:p>
        </w:tc>
        <w:tc>
          <w:tcPr>
            <w:tcW w:type="dxa" w:w="1514"/>
          </w:tcPr>
          <w:p>
            <w:pPr>
              <w:spacing w:before="20" w:after="20"/>
            </w:pPr>
            <w:r/>
            <w:r>
              <w:rPr>
                <w:rFonts w:ascii="Verdana" w:hAnsi="Verdana"/>
                <w:b w:val="0"/>
                <w:sz w:val="16"/>
              </w:rPr>
              <w:t>Angle de site de l'antenne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0 02 136</w:t>
            </w:r>
          </w:p>
        </w:tc>
        <w:tc>
          <w:tcPr>
            <w:tcW w:type="dxa" w:w="1514"/>
          </w:tcPr>
          <w:p>
            <w:pPr>
              <w:spacing w:before="20" w:after="20"/>
            </w:pPr>
            <w:r/>
            <w:r>
              <w:rPr>
                <w:rFonts w:ascii="Verdana" w:hAnsi="Verdana"/>
                <w:b w:val="0"/>
                <w:sz w:val="16"/>
              </w:rPr>
              <w:t>Portée atteinte par correction de l'affaiblissement de portée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0 02 137</w:t>
            </w:r>
          </w:p>
        </w:tc>
        <w:tc>
          <w:tcPr>
            <w:tcW w:type="dxa" w:w="1514"/>
          </w:tcPr>
          <w:p>
            <w:pPr>
              <w:spacing w:before="20" w:after="20"/>
            </w:pPr>
            <w:r/>
            <w:r>
              <w:rPr>
                <w:rFonts w:ascii="Verdana" w:hAnsi="Verdana"/>
                <w:b w:val="0"/>
                <w:sz w:val="16"/>
              </w:rPr>
              <w:t>Rapport de double fréquence de répétition des impulsions du radar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0 02 138</w:t>
            </w:r>
          </w:p>
        </w:tc>
        <w:tc>
          <w:tcPr>
            <w:tcW w:type="dxa" w:w="1514"/>
          </w:tcPr>
          <w:p>
            <w:pPr>
              <w:spacing w:before="20" w:after="20"/>
            </w:pPr>
            <w:r/>
            <w:r>
              <w:rPr>
                <w:rFonts w:ascii="Verdana" w:hAnsi="Verdana"/>
                <w:b w:val="0"/>
                <w:sz w:val="16"/>
              </w:rPr>
              <w:t>Direction de rotation de l'antenne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0 02 139</w:t>
            </w:r>
          </w:p>
        </w:tc>
        <w:tc>
          <w:tcPr>
            <w:tcW w:type="dxa" w:w="1514"/>
          </w:tcPr>
          <w:p>
            <w:pPr>
              <w:spacing w:before="20" w:after="20"/>
            </w:pPr>
            <w:r/>
            <w:r>
              <w:rPr>
                <w:rFonts w:ascii="Verdana" w:hAnsi="Verdana"/>
                <w:b w:val="0"/>
                <w:sz w:val="16"/>
              </w:rPr>
              <w:t>Configuration de l'instrument SIRAL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0 02 140</w:t>
            </w:r>
          </w:p>
        </w:tc>
        <w:tc>
          <w:tcPr>
            <w:tcW w:type="dxa" w:w="1514"/>
          </w:tcPr>
          <w:p>
            <w:pPr>
              <w:spacing w:before="20" w:after="20"/>
            </w:pPr>
            <w:r/>
            <w:r>
              <w:rPr>
                <w:rFonts w:ascii="Verdana" w:hAnsi="Verdana"/>
                <w:b w:val="0"/>
                <w:sz w:val="16"/>
              </w:rPr>
              <w:t>Angle d'azimut du faisceau de radar de satellite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111: Il est à noter que le descripteur 0 02 140 est l’angle d’azimut mesuré dans le sens inverse des aiguilles d’une montre à partir du vecteur de mouvement du satellite.</w:t>
            </w:r>
          </w:p>
        </w:tc>
      </w:tr>
      <w:tr>
        <w:trPr>
          <w:cantSplit/>
        </w:trPr>
        <w:tc>
          <w:tcPr>
            <w:tcW w:type="dxa" w:w="1514"/>
          </w:tcPr>
          <w:p>
            <w:pPr>
              <w:spacing w:before="20" w:after="20"/>
            </w:pPr>
            <w:r/>
            <w:r>
              <w:rPr>
                <w:rFonts w:ascii="Verdana" w:hAnsi="Verdana"/>
                <w:b w:val="0"/>
                <w:sz w:val="16"/>
              </w:rPr>
              <w:t>0 02 141</w:t>
            </w:r>
          </w:p>
        </w:tc>
        <w:tc>
          <w:tcPr>
            <w:tcW w:type="dxa" w:w="1514"/>
          </w:tcPr>
          <w:p>
            <w:pPr>
              <w:spacing w:before="20" w:after="20"/>
            </w:pPr>
            <w:r/>
            <w:r>
              <w:rPr>
                <w:rFonts w:ascii="Verdana" w:hAnsi="Verdana"/>
                <w:b w:val="0"/>
                <w:sz w:val="16"/>
              </w:rPr>
              <w:t>Type de mesure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0 02 142</w:t>
            </w:r>
          </w:p>
        </w:tc>
        <w:tc>
          <w:tcPr>
            <w:tcW w:type="dxa" w:w="1514"/>
          </w:tcPr>
          <w:p>
            <w:pPr>
              <w:spacing w:before="20" w:after="20"/>
            </w:pPr>
            <w:r/>
            <w:r>
              <w:rPr>
                <w:rFonts w:ascii="Verdana" w:hAnsi="Verdana"/>
                <w:b w:val="0"/>
                <w:sz w:val="16"/>
              </w:rPr>
              <w:t>Numéro de série/identificateur du type d'instrument de mesure de l'ozone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91: Dans le descripteur 0 02 142: le numéro de série/identification de l’instrument de mesure de l’ozone est d’une longueur de quatre caractères. Pour les instruments Dobson japonais, tronquer le(s) premier(s) chiffre(s).</w:t>
            </w:r>
          </w:p>
        </w:tc>
      </w:tr>
      <w:tr>
        <w:trPr>
          <w:cantSplit/>
        </w:trPr>
        <w:tc>
          <w:tcPr>
            <w:tcW w:type="dxa" w:w="1514"/>
          </w:tcPr>
          <w:p>
            <w:pPr>
              <w:spacing w:before="20" w:after="20"/>
            </w:pPr>
            <w:r/>
            <w:r>
              <w:rPr>
                <w:rFonts w:ascii="Verdana" w:hAnsi="Verdana"/>
                <w:b w:val="0"/>
                <w:sz w:val="16"/>
              </w:rPr>
              <w:t>0 02 143</w:t>
            </w:r>
          </w:p>
        </w:tc>
        <w:tc>
          <w:tcPr>
            <w:tcW w:type="dxa" w:w="1514"/>
          </w:tcPr>
          <w:p>
            <w:pPr>
              <w:spacing w:before="20" w:after="20"/>
            </w:pPr>
            <w:r/>
            <w:r>
              <w:rPr>
                <w:rFonts w:ascii="Verdana" w:hAnsi="Verdana"/>
                <w:b w:val="0"/>
                <w:sz w:val="16"/>
              </w:rPr>
              <w:t>Type d'instrument de mesure de l'ozone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0 02 144</w:t>
            </w:r>
          </w:p>
        </w:tc>
        <w:tc>
          <w:tcPr>
            <w:tcW w:type="dxa" w:w="1514"/>
          </w:tcPr>
          <w:p>
            <w:pPr>
              <w:spacing w:before="20" w:after="20"/>
            </w:pPr>
            <w:r/>
            <w:r>
              <w:rPr>
                <w:rFonts w:ascii="Verdana" w:hAnsi="Verdana"/>
                <w:b w:val="0"/>
                <w:sz w:val="16"/>
              </w:rPr>
              <w:t>Type de source lumineuse pour spectrophotomètre Brewer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0 02 145</w:t>
            </w:r>
          </w:p>
        </w:tc>
        <w:tc>
          <w:tcPr>
            <w:tcW w:type="dxa" w:w="1514"/>
          </w:tcPr>
          <w:p>
            <w:pPr>
              <w:spacing w:before="20" w:after="20"/>
            </w:pPr>
            <w:r/>
            <w:r>
              <w:rPr>
                <w:rFonts w:ascii="Verdana" w:hAnsi="Verdana"/>
                <w:b w:val="0"/>
                <w:sz w:val="16"/>
              </w:rPr>
              <w:t>Longueurs d'ondes et réglage pour instruments Dobson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0 02 146</w:t>
            </w:r>
          </w:p>
        </w:tc>
        <w:tc>
          <w:tcPr>
            <w:tcW w:type="dxa" w:w="1514"/>
          </w:tcPr>
          <w:p>
            <w:pPr>
              <w:spacing w:before="20" w:after="20"/>
            </w:pPr>
            <w:r/>
            <w:r>
              <w:rPr>
                <w:rFonts w:ascii="Verdana" w:hAnsi="Verdana"/>
                <w:b w:val="0"/>
                <w:sz w:val="16"/>
              </w:rPr>
              <w:t>État de la source pour instruments Dobson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0 02 147</w:t>
            </w:r>
          </w:p>
        </w:tc>
        <w:tc>
          <w:tcPr>
            <w:tcW w:type="dxa" w:w="1514"/>
          </w:tcPr>
          <w:p>
            <w:pPr>
              <w:spacing w:before="20" w:after="20"/>
            </w:pPr>
            <w:r/>
            <w:r>
              <w:rPr>
                <w:rFonts w:ascii="Verdana" w:hAnsi="Verdana"/>
                <w:b w:val="0"/>
                <w:sz w:val="16"/>
              </w:rPr>
              <w:t>Mode de transmission au centre de collecte des données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0 02 148</w:t>
            </w:r>
          </w:p>
        </w:tc>
        <w:tc>
          <w:tcPr>
            <w:tcW w:type="dxa" w:w="1514"/>
          </w:tcPr>
          <w:p>
            <w:pPr>
              <w:spacing w:before="20" w:after="20"/>
            </w:pPr>
            <w:r/>
            <w:r>
              <w:rPr>
                <w:rFonts w:ascii="Verdana" w:hAnsi="Verdana"/>
                <w:b w:val="0"/>
                <w:sz w:val="16"/>
              </w:rPr>
              <w:t>Système de collecte de données et/ou de positionnement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0 02 149</w:t>
            </w:r>
          </w:p>
        </w:tc>
        <w:tc>
          <w:tcPr>
            <w:tcW w:type="dxa" w:w="1514"/>
          </w:tcPr>
          <w:p>
            <w:pPr>
              <w:spacing w:before="20" w:after="20"/>
            </w:pPr>
            <w:r/>
            <w:r>
              <w:rPr>
                <w:rFonts w:ascii="Verdana" w:hAnsi="Verdana"/>
                <w:b w:val="0"/>
                <w:sz w:val="16"/>
              </w:rPr>
              <w:t>Type de bouée de collecte de données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0 02 150</w:t>
            </w:r>
          </w:p>
        </w:tc>
        <w:tc>
          <w:tcPr>
            <w:tcW w:type="dxa" w:w="1514"/>
          </w:tcPr>
          <w:p>
            <w:pPr>
              <w:spacing w:before="20" w:after="20"/>
            </w:pPr>
            <w:r/>
            <w:r>
              <w:rPr>
                <w:rFonts w:ascii="Verdana" w:hAnsi="Verdana"/>
                <w:b w:val="0"/>
                <w:sz w:val="16"/>
              </w:rPr>
              <w:t>Numéro du canal de l'instrument TOVS/ATOVS/AVHRR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0 02 151</w:t>
            </w:r>
          </w:p>
        </w:tc>
        <w:tc>
          <w:tcPr>
            <w:tcW w:type="dxa" w:w="1514"/>
          </w:tcPr>
          <w:p>
            <w:pPr>
              <w:spacing w:before="20" w:after="20"/>
            </w:pPr>
            <w:r/>
            <w:r>
              <w:rPr>
                <w:rFonts w:ascii="Verdana" w:hAnsi="Verdana"/>
                <w:b w:val="0"/>
                <w:sz w:val="16"/>
              </w:rPr>
              <w:t>Indicateur d'identification du radiomètre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0 02 152</w:t>
            </w:r>
          </w:p>
        </w:tc>
        <w:tc>
          <w:tcPr>
            <w:tcW w:type="dxa" w:w="1514"/>
          </w:tcPr>
          <w:p>
            <w:pPr>
              <w:spacing w:before="20" w:after="20"/>
            </w:pPr>
            <w:r/>
            <w:r>
              <w:rPr>
                <w:rFonts w:ascii="Verdana" w:hAnsi="Verdana"/>
                <w:b w:val="0"/>
                <w:sz w:val="16"/>
              </w:rPr>
              <w:t>Instrument de satellite utilisé dans le traitement des données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46: Le descripteur 0 02 019 devrait être utilisé au lieu du descripteur 0 02 152 pour l’identification d’un seul instrument satellitaire.</w:t>
            </w:r>
          </w:p>
        </w:tc>
      </w:tr>
      <w:tr>
        <w:trPr>
          <w:cantSplit/>
        </w:trPr>
        <w:tc>
          <w:tcPr>
            <w:tcW w:type="dxa" w:w="1514"/>
          </w:tcPr>
          <w:p>
            <w:pPr>
              <w:spacing w:before="20" w:after="20"/>
            </w:pPr>
            <w:r/>
            <w:r>
              <w:rPr>
                <w:rFonts w:ascii="Verdana" w:hAnsi="Verdana"/>
                <w:b w:val="0"/>
                <w:sz w:val="16"/>
              </w:rPr>
              <w:t>0 02 153</w:t>
            </w:r>
          </w:p>
        </w:tc>
        <w:tc>
          <w:tcPr>
            <w:tcW w:type="dxa" w:w="1514"/>
          </w:tcPr>
          <w:p>
            <w:pPr>
              <w:spacing w:before="20" w:after="20"/>
            </w:pPr>
            <w:r/>
            <w:r>
              <w:rPr>
                <w:rFonts w:ascii="Verdana" w:hAnsi="Verdana"/>
                <w:b w:val="0"/>
                <w:sz w:val="16"/>
              </w:rPr>
              <w:t>Fréquence centrale du canal du satellite</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0 02 154</w:t>
            </w:r>
          </w:p>
        </w:tc>
        <w:tc>
          <w:tcPr>
            <w:tcW w:type="dxa" w:w="1514"/>
          </w:tcPr>
          <w:p>
            <w:pPr>
              <w:spacing w:before="20" w:after="20"/>
            </w:pPr>
            <w:r/>
            <w:r>
              <w:rPr>
                <w:rFonts w:ascii="Verdana" w:hAnsi="Verdana"/>
                <w:b w:val="0"/>
                <w:sz w:val="16"/>
              </w:rPr>
              <w:t>Largeur de bande du canal du satellite</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0 02 155</w:t>
            </w:r>
          </w:p>
        </w:tc>
        <w:tc>
          <w:tcPr>
            <w:tcW w:type="dxa" w:w="1514"/>
          </w:tcPr>
          <w:p>
            <w:pPr>
              <w:spacing w:before="20" w:after="20"/>
            </w:pPr>
            <w:r/>
            <w:r>
              <w:rPr>
                <w:rFonts w:ascii="Verdana" w:hAnsi="Verdana"/>
                <w:b w:val="0"/>
                <w:sz w:val="16"/>
              </w:rPr>
              <w:t>Longueur d'onde du canal du satellite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0 02 156</w:t>
            </w:r>
          </w:p>
        </w:tc>
        <w:tc>
          <w:tcPr>
            <w:tcW w:type="dxa" w:w="1514"/>
          </w:tcPr>
          <w:p>
            <w:pPr>
              <w:spacing w:before="20" w:after="20"/>
            </w:pPr>
            <w:r/>
            <w:r>
              <w:rPr>
                <w:rFonts w:ascii="Verdana" w:hAnsi="Verdana"/>
                <w:b w:val="0"/>
                <w:sz w:val="16"/>
              </w:rPr>
              <w:t>Pourcentage de mesures océaniques correctes après retraitement de la bande Ku</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0 02 157</w:t>
            </w:r>
          </w:p>
        </w:tc>
        <w:tc>
          <w:tcPr>
            <w:tcW w:type="dxa" w:w="1514"/>
          </w:tcPr>
          <w:p>
            <w:pPr>
              <w:spacing w:before="20" w:after="20"/>
            </w:pPr>
            <w:r/>
            <w:r>
              <w:rPr>
                <w:rFonts w:ascii="Verdana" w:hAnsi="Verdana"/>
                <w:b w:val="0"/>
                <w:sz w:val="16"/>
              </w:rPr>
              <w:t>Pourcentage de mesures océaniques correctes après retraitement de la bande 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0 02 158</w:t>
            </w:r>
          </w:p>
        </w:tc>
        <w:tc>
          <w:tcPr>
            <w:tcW w:type="dxa" w:w="1514"/>
          </w:tcPr>
          <w:p>
            <w:pPr>
              <w:spacing w:before="20" w:after="20"/>
            </w:pPr>
            <w:r/>
            <w:r>
              <w:rPr>
                <w:rFonts w:ascii="Verdana" w:hAnsi="Verdana"/>
                <w:b w:val="0"/>
                <w:sz w:val="16"/>
              </w:rPr>
              <w:t>Instrument RA-2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0 02 159</w:t>
            </w:r>
          </w:p>
        </w:tc>
        <w:tc>
          <w:tcPr>
            <w:tcW w:type="dxa" w:w="1514"/>
          </w:tcPr>
          <w:p>
            <w:pPr>
              <w:spacing w:before="20" w:after="20"/>
            </w:pPr>
            <w:r/>
            <w:r>
              <w:rPr>
                <w:rFonts w:ascii="Verdana" w:hAnsi="Verdana"/>
                <w:b w:val="0"/>
                <w:sz w:val="16"/>
              </w:rPr>
              <w:t>Instrument MWR</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0 02 160</w:t>
            </w:r>
          </w:p>
        </w:tc>
        <w:tc>
          <w:tcPr>
            <w:tcW w:type="dxa" w:w="1514"/>
          </w:tcPr>
          <w:p>
            <w:pPr>
              <w:spacing w:before="20" w:after="20"/>
            </w:pPr>
            <w:r/>
            <w:r>
              <w:rPr>
                <w:rFonts w:ascii="Verdana" w:hAnsi="Verdana"/>
                <w:b w:val="0"/>
                <w:sz w:val="16"/>
              </w:rPr>
              <w:t>Longueur d'onde sur laquelle fonctionne le radar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0 02 161</w:t>
            </w:r>
          </w:p>
        </w:tc>
        <w:tc>
          <w:tcPr>
            <w:tcW w:type="dxa" w:w="1514"/>
          </w:tcPr>
          <w:p>
            <w:pPr>
              <w:spacing w:before="20" w:after="20"/>
            </w:pPr>
            <w:r/>
            <w:r>
              <w:rPr>
                <w:rFonts w:ascii="Verdana" w:hAnsi="Verdana"/>
                <w:b w:val="0"/>
                <w:sz w:val="16"/>
              </w:rPr>
              <w:t>Méthode de traitement des données du vent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0 02 162</w:t>
            </w:r>
          </w:p>
        </w:tc>
        <w:tc>
          <w:tcPr>
            <w:tcW w:type="dxa" w:w="1514"/>
          </w:tcPr>
          <w:p>
            <w:pPr>
              <w:spacing w:before="20" w:after="20"/>
            </w:pPr>
            <w:r/>
            <w:r>
              <w:rPr>
                <w:rFonts w:ascii="Verdana" w:hAnsi="Verdana"/>
                <w:b w:val="0"/>
                <w:sz w:val="16"/>
              </w:rPr>
              <w:t>Méthode élargie de détermination de l'altitude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0 02 163</w:t>
            </w:r>
          </w:p>
        </w:tc>
        <w:tc>
          <w:tcPr>
            <w:tcW w:type="dxa" w:w="1514"/>
          </w:tcPr>
          <w:p>
            <w:pPr>
              <w:spacing w:before="20" w:after="20"/>
            </w:pPr>
            <w:r/>
            <w:r>
              <w:rPr>
                <w:rFonts w:ascii="Verdana" w:hAnsi="Verdana"/>
                <w:b w:val="0"/>
                <w:sz w:val="16"/>
              </w:rPr>
              <w:t>Méthode de détermination de l'altitude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0 02 164</w:t>
            </w:r>
          </w:p>
        </w:tc>
        <w:tc>
          <w:tcPr>
            <w:tcW w:type="dxa" w:w="1514"/>
          </w:tcPr>
          <w:p>
            <w:pPr>
              <w:spacing w:before="20" w:after="20"/>
            </w:pPr>
            <w:r/>
            <w:r>
              <w:rPr>
                <w:rFonts w:ascii="Verdana" w:hAnsi="Verdana"/>
                <w:b w:val="0"/>
                <w:sz w:val="16"/>
              </w:rPr>
              <w:t>Méthode de corrélation des traceurs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0 02 165</w:t>
            </w:r>
          </w:p>
        </w:tc>
        <w:tc>
          <w:tcPr>
            <w:tcW w:type="dxa" w:w="1514"/>
          </w:tcPr>
          <w:p>
            <w:pPr>
              <w:spacing w:before="20" w:after="20"/>
            </w:pPr>
            <w:r/>
            <w:r>
              <w:rPr>
                <w:rFonts w:ascii="Verdana" w:hAnsi="Verdana"/>
                <w:b w:val="0"/>
                <w:sz w:val="16"/>
              </w:rPr>
              <w:t>Indicateur de type de luminance énergétique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0 02 166</w:t>
            </w:r>
          </w:p>
        </w:tc>
        <w:tc>
          <w:tcPr>
            <w:tcW w:type="dxa" w:w="1514"/>
          </w:tcPr>
          <w:p>
            <w:pPr>
              <w:spacing w:before="20" w:after="20"/>
            </w:pPr>
            <w:r/>
            <w:r>
              <w:rPr>
                <w:rFonts w:ascii="Verdana" w:hAnsi="Verdana"/>
                <w:b w:val="0"/>
                <w:sz w:val="16"/>
              </w:rPr>
              <w:t>Type de luminance énergétique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0 02 167</w:t>
            </w:r>
          </w:p>
        </w:tc>
        <w:tc>
          <w:tcPr>
            <w:tcW w:type="dxa" w:w="1514"/>
          </w:tcPr>
          <w:p>
            <w:pPr>
              <w:spacing w:before="20" w:after="20"/>
            </w:pPr>
            <w:r/>
            <w:r>
              <w:rPr>
                <w:rFonts w:ascii="Verdana" w:hAnsi="Verdana"/>
                <w:b w:val="0"/>
                <w:sz w:val="16"/>
              </w:rPr>
              <w:t>Méthode de calcul de la luminance énergétique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0 02 168</w:t>
            </w:r>
          </w:p>
        </w:tc>
        <w:tc>
          <w:tcPr>
            <w:tcW w:type="dxa" w:w="1514"/>
          </w:tcPr>
          <w:p>
            <w:pPr>
              <w:spacing w:before="20" w:after="20"/>
            </w:pPr>
            <w:r/>
            <w:r>
              <w:rPr>
                <w:rFonts w:ascii="Verdana" w:hAnsi="Verdana"/>
                <w:b w:val="0"/>
                <w:sz w:val="16"/>
              </w:rPr>
              <w:t>Pression hydrostatique de l'extrémité inférieure du câble (chaîne à thermistance)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0 02 169</w:t>
            </w:r>
          </w:p>
        </w:tc>
        <w:tc>
          <w:tcPr>
            <w:tcW w:type="dxa" w:w="1514"/>
          </w:tcPr>
          <w:p>
            <w:pPr>
              <w:spacing w:before="20" w:after="20"/>
            </w:pPr>
            <w:r/>
            <w:r>
              <w:rPr>
                <w:rFonts w:ascii="Verdana" w:hAnsi="Verdana"/>
                <w:b w:val="0"/>
                <w:sz w:val="16"/>
              </w:rPr>
              <w:t>Type d'anémomètre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0 02 170</w:t>
            </w:r>
          </w:p>
        </w:tc>
        <w:tc>
          <w:tcPr>
            <w:tcW w:type="dxa" w:w="1514"/>
          </w:tcPr>
          <w:p>
            <w:pPr>
              <w:spacing w:before="20" w:after="20"/>
            </w:pPr>
            <w:r/>
            <w:r>
              <w:rPr>
                <w:rFonts w:ascii="Verdana" w:hAnsi="Verdana"/>
                <w:b w:val="0"/>
                <w:sz w:val="16"/>
              </w:rPr>
              <w:t>Capteur d'humidité de l'aéronef</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0 02 171</w:t>
            </w:r>
          </w:p>
        </w:tc>
        <w:tc>
          <w:tcPr>
            <w:tcW w:type="dxa" w:w="1514"/>
          </w:tcPr>
          <w:p>
            <w:pPr>
              <w:spacing w:before="20" w:after="20"/>
            </w:pPr>
            <w:r/>
            <w:r>
              <w:rPr>
                <w:rFonts w:ascii="Verdana" w:hAnsi="Verdana"/>
                <w:b w:val="0"/>
                <w:sz w:val="16"/>
              </w:rPr>
              <w:t>Numéro de série de l'instrument de mesure du profil de la température de l'eau</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0 02 172</w:t>
            </w:r>
          </w:p>
        </w:tc>
        <w:tc>
          <w:tcPr>
            <w:tcW w:type="dxa" w:w="1514"/>
          </w:tcPr>
          <w:p>
            <w:pPr>
              <w:spacing w:before="20" w:after="20"/>
            </w:pPr>
            <w:r/>
            <w:r>
              <w:rPr>
                <w:rFonts w:ascii="Verdana" w:hAnsi="Verdana"/>
                <w:b w:val="0"/>
                <w:sz w:val="16"/>
              </w:rPr>
              <w:t>Type de produit pour les données extraites concernant les gaz atmosphériques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0 02 173</w:t>
            </w:r>
          </w:p>
        </w:tc>
        <w:tc>
          <w:tcPr>
            <w:tcW w:type="dxa" w:w="1514"/>
          </w:tcPr>
          <w:p>
            <w:pPr>
              <w:spacing w:before="20" w:after="20"/>
            </w:pPr>
            <w:r/>
            <w:r>
              <w:rPr>
                <w:rFonts w:ascii="Verdana" w:hAnsi="Verdana"/>
                <w:b w:val="0"/>
                <w:sz w:val="16"/>
              </w:rPr>
              <w:t>Carré de l'angle de visée latérale</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124: Carré de l’angle de visée latérale calculé à partir des paramètres obtenus en bande Ku; unité : 10 –4 deg 2 ; valeur minimale usuelle : 0; valeur maximale usuelle: 900.</w:t>
            </w:r>
          </w:p>
        </w:tc>
      </w:tr>
      <w:tr>
        <w:trPr>
          <w:cantSplit/>
        </w:trPr>
        <w:tc>
          <w:tcPr>
            <w:tcW w:type="dxa" w:w="1514"/>
          </w:tcPr>
          <w:p>
            <w:pPr>
              <w:spacing w:before="20" w:after="20"/>
            </w:pPr>
            <w:r/>
            <w:r>
              <w:rPr>
                <w:rFonts w:ascii="Verdana" w:hAnsi="Verdana"/>
                <w:b w:val="0"/>
                <w:sz w:val="16"/>
              </w:rPr>
              <w:t>0 02 174</w:t>
            </w:r>
          </w:p>
        </w:tc>
        <w:tc>
          <w:tcPr>
            <w:tcW w:type="dxa" w:w="1514"/>
          </w:tcPr>
          <w:p>
            <w:pPr>
              <w:spacing w:before="20" w:after="20"/>
            </w:pPr>
            <w:r/>
            <w:r>
              <w:rPr>
                <w:rFonts w:ascii="Verdana" w:hAnsi="Verdana"/>
                <w:b w:val="0"/>
                <w:sz w:val="16"/>
              </w:rPr>
              <w:t>Nombre moyen de pixels en visée latérale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0 02 175</w:t>
            </w:r>
          </w:p>
        </w:tc>
        <w:tc>
          <w:tcPr>
            <w:tcW w:type="dxa" w:w="1514"/>
          </w:tcPr>
          <w:p>
            <w:pPr>
              <w:spacing w:before="20" w:after="20"/>
            </w:pPr>
            <w:r/>
            <w:r>
              <w:rPr>
                <w:rFonts w:ascii="Verdana" w:hAnsi="Verdana"/>
                <w:b w:val="0"/>
                <w:sz w:val="16"/>
              </w:rPr>
              <w:t>Méthode de mesure des précipitations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0 02 176</w:t>
            </w:r>
          </w:p>
        </w:tc>
        <w:tc>
          <w:tcPr>
            <w:tcW w:type="dxa" w:w="1514"/>
          </w:tcPr>
          <w:p>
            <w:pPr>
              <w:spacing w:before="20" w:after="20"/>
            </w:pPr>
            <w:r/>
            <w:r>
              <w:rPr>
                <w:rFonts w:ascii="Verdana" w:hAnsi="Verdana"/>
                <w:b w:val="0"/>
                <w:sz w:val="16"/>
              </w:rPr>
              <w:t>Méthode de mesure de l'état du sol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0 02 177</w:t>
            </w:r>
          </w:p>
        </w:tc>
        <w:tc>
          <w:tcPr>
            <w:tcW w:type="dxa" w:w="1514"/>
          </w:tcPr>
          <w:p>
            <w:pPr>
              <w:spacing w:before="20" w:after="20"/>
            </w:pPr>
            <w:r/>
            <w:r>
              <w:rPr>
                <w:rFonts w:ascii="Verdana" w:hAnsi="Verdana"/>
                <w:b w:val="0"/>
                <w:sz w:val="16"/>
              </w:rPr>
              <w:t>Méthode de mesure de l'épaisseur de neige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0 02 178</w:t>
            </w:r>
          </w:p>
        </w:tc>
        <w:tc>
          <w:tcPr>
            <w:tcW w:type="dxa" w:w="1514"/>
          </w:tcPr>
          <w:p>
            <w:pPr>
              <w:spacing w:before="20" w:after="20"/>
            </w:pPr>
            <w:r/>
            <w:r>
              <w:rPr>
                <w:rFonts w:ascii="Verdana" w:hAnsi="Verdana"/>
                <w:b w:val="0"/>
                <w:sz w:val="16"/>
              </w:rPr>
              <w:t>Méthode de mesure de la teneur en eau à l'état liquide des précipitations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0 02 179</w:t>
            </w:r>
          </w:p>
        </w:tc>
        <w:tc>
          <w:tcPr>
            <w:tcW w:type="dxa" w:w="1514"/>
          </w:tcPr>
          <w:p>
            <w:pPr>
              <w:spacing w:before="20" w:after="20"/>
            </w:pPr>
            <w:r/>
            <w:r>
              <w:rPr>
                <w:rFonts w:ascii="Verdana" w:hAnsi="Verdana"/>
                <w:b w:val="0"/>
                <w:sz w:val="16"/>
              </w:rPr>
              <w:t>Type d'algorithme utilisé pour l'état du ciel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0 02 180</w:t>
            </w:r>
          </w:p>
        </w:tc>
        <w:tc>
          <w:tcPr>
            <w:tcW w:type="dxa" w:w="1514"/>
          </w:tcPr>
          <w:p>
            <w:pPr>
              <w:spacing w:before="20" w:after="20"/>
            </w:pPr>
            <w:r/>
            <w:r>
              <w:rPr>
                <w:rFonts w:ascii="Verdana" w:hAnsi="Verdana"/>
                <w:b w:val="0"/>
                <w:sz w:val="16"/>
              </w:rPr>
              <w:t>Système principal de détection du temps présent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0 02 181</w:t>
            </w:r>
          </w:p>
        </w:tc>
        <w:tc>
          <w:tcPr>
            <w:tcW w:type="dxa" w:w="1514"/>
          </w:tcPr>
          <w:p>
            <w:pPr>
              <w:spacing w:before="20" w:after="20"/>
            </w:pPr>
            <w:r/>
            <w:r>
              <w:rPr>
                <w:rFonts w:ascii="Verdana" w:hAnsi="Verdana"/>
                <w:b w:val="0"/>
                <w:sz w:val="16"/>
              </w:rPr>
              <w:t>Capteur supplémentaire du temps présent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0 02 182</w:t>
            </w:r>
          </w:p>
        </w:tc>
        <w:tc>
          <w:tcPr>
            <w:tcW w:type="dxa" w:w="1514"/>
          </w:tcPr>
          <w:p>
            <w:pPr>
              <w:spacing w:before="20" w:after="20"/>
            </w:pPr>
            <w:r/>
            <w:r>
              <w:rPr>
                <w:rFonts w:ascii="Verdana" w:hAnsi="Verdana"/>
                <w:b w:val="0"/>
                <w:sz w:val="16"/>
              </w:rPr>
              <w:t>Système de mesure de la visibilité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0 02 183</w:t>
            </w:r>
          </w:p>
        </w:tc>
        <w:tc>
          <w:tcPr>
            <w:tcW w:type="dxa" w:w="1514"/>
          </w:tcPr>
          <w:p>
            <w:pPr>
              <w:spacing w:before="20" w:after="20"/>
            </w:pPr>
            <w:r/>
            <w:r>
              <w:rPr>
                <w:rFonts w:ascii="Verdana" w:hAnsi="Verdana"/>
                <w:b w:val="0"/>
                <w:sz w:val="16"/>
              </w:rPr>
              <w:t>Système de détection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0 02 184</w:t>
            </w:r>
          </w:p>
        </w:tc>
        <w:tc>
          <w:tcPr>
            <w:tcW w:type="dxa" w:w="1514"/>
          </w:tcPr>
          <w:p>
            <w:pPr>
              <w:spacing w:before="20" w:after="20"/>
            </w:pPr>
            <w:r/>
            <w:r>
              <w:rPr>
                <w:rFonts w:ascii="Verdana" w:hAnsi="Verdana"/>
                <w:b w:val="0"/>
                <w:sz w:val="16"/>
              </w:rPr>
              <w:t>Type de capteur de détection de la foudre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0 02 185</w:t>
            </w:r>
          </w:p>
        </w:tc>
        <w:tc>
          <w:tcPr>
            <w:tcW w:type="dxa" w:w="1514"/>
          </w:tcPr>
          <w:p>
            <w:pPr>
              <w:spacing w:before="20" w:after="20"/>
            </w:pPr>
            <w:r/>
            <w:r>
              <w:rPr>
                <w:rFonts w:ascii="Verdana" w:hAnsi="Verdana"/>
                <w:b w:val="0"/>
                <w:sz w:val="16"/>
              </w:rPr>
              <w:t>Méthode de mesure de l'évaporation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0 02 186</w:t>
            </w:r>
          </w:p>
        </w:tc>
        <w:tc>
          <w:tcPr>
            <w:tcW w:type="dxa" w:w="1514"/>
          </w:tcPr>
          <w:p>
            <w:pPr>
              <w:spacing w:before="20" w:after="20"/>
            </w:pPr>
            <w:r/>
            <w:r>
              <w:rPr>
                <w:rFonts w:ascii="Verdana" w:hAnsi="Verdana"/>
                <w:b w:val="0"/>
                <w:sz w:val="16"/>
              </w:rPr>
              <w:t>Détection des divers types de précipitations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0 02 187</w:t>
            </w:r>
          </w:p>
        </w:tc>
        <w:tc>
          <w:tcPr>
            <w:tcW w:type="dxa" w:w="1514"/>
          </w:tcPr>
          <w:p>
            <w:pPr>
              <w:spacing w:before="20" w:after="20"/>
            </w:pPr>
            <w:r/>
            <w:r>
              <w:rPr>
                <w:rFonts w:ascii="Verdana" w:hAnsi="Verdana"/>
                <w:b w:val="0"/>
                <w:sz w:val="16"/>
              </w:rPr>
              <w:t>Détection d'autres phénomènes météorologiques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0 02 188</w:t>
            </w:r>
          </w:p>
        </w:tc>
        <w:tc>
          <w:tcPr>
            <w:tcW w:type="dxa" w:w="1514"/>
          </w:tcPr>
          <w:p>
            <w:pPr>
              <w:spacing w:before="20" w:after="20"/>
            </w:pPr>
            <w:r/>
            <w:r>
              <w:rPr>
                <w:rFonts w:ascii="Verdana" w:hAnsi="Verdana"/>
                <w:b w:val="0"/>
                <w:sz w:val="16"/>
              </w:rPr>
              <w:t>Détection d'un obscurcissement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0 02 189</w:t>
            </w:r>
          </w:p>
        </w:tc>
        <w:tc>
          <w:tcPr>
            <w:tcW w:type="dxa" w:w="1514"/>
          </w:tcPr>
          <w:p>
            <w:pPr>
              <w:spacing w:before="20" w:after="20"/>
            </w:pPr>
            <w:r/>
            <w:r>
              <w:rPr>
                <w:rFonts w:ascii="Verdana" w:hAnsi="Verdana"/>
                <w:b w:val="0"/>
                <w:sz w:val="16"/>
              </w:rPr>
              <w:t>Distinction entre les différents types d'éclairs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0 02 190</w:t>
            </w:r>
          </w:p>
        </w:tc>
        <w:tc>
          <w:tcPr>
            <w:tcW w:type="dxa" w:w="1514"/>
          </w:tcPr>
          <w:p>
            <w:pPr>
              <w:spacing w:before="20" w:after="20"/>
            </w:pPr>
            <w:r/>
            <w:r>
              <w:rPr>
                <w:rFonts w:ascii="Verdana" w:hAnsi="Verdana"/>
                <w:b w:val="0"/>
                <w:sz w:val="16"/>
              </w:rPr>
              <w:t>Message d'observation Lagrangien provenant d'une bouée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0 02 191</w:t>
            </w:r>
          </w:p>
        </w:tc>
        <w:tc>
          <w:tcPr>
            <w:tcW w:type="dxa" w:w="1514"/>
          </w:tcPr>
          <w:p>
            <w:pPr>
              <w:spacing w:before="20" w:after="20"/>
            </w:pPr>
            <w:r/>
            <w:r>
              <w:rPr>
                <w:rFonts w:ascii="Verdana" w:hAnsi="Verdana"/>
                <w:b w:val="0"/>
                <w:sz w:val="16"/>
              </w:rPr>
              <w:t>Calcul de la hauteur géopotentielle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