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 : Situation (dans le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0 04 001</w:t>
            </w:r>
          </w:p>
        </w:tc>
        <w:tc>
          <w:tcPr>
            <w:tcW w:type="dxa" w:w="1514"/>
          </w:tcPr>
          <w:p>
            <w:pPr>
              <w:spacing w:before="20" w:after="20"/>
            </w:pPr>
            <w:r/>
            <w:r>
              <w:rPr>
                <w:rFonts w:ascii="Verdana" w:hAnsi="Verdana"/>
                <w:b w:val="0"/>
                <w:sz w:val="16"/>
              </w:rPr>
              <w:t>Année</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0 04 002</w:t>
            </w:r>
          </w:p>
        </w:tc>
        <w:tc>
          <w:tcPr>
            <w:tcW w:type="dxa" w:w="1514"/>
          </w:tcPr>
          <w:p>
            <w:pPr>
              <w:spacing w:before="20" w:after="20"/>
            </w:pPr>
            <w:r/>
            <w:r>
              <w:rPr>
                <w:rFonts w:ascii="Verdana" w:hAnsi="Verdana"/>
                <w:b w:val="0"/>
                <w:sz w:val="16"/>
              </w:rPr>
              <w:t>Mois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0 04 003</w:t>
            </w:r>
          </w:p>
        </w:tc>
        <w:tc>
          <w:tcPr>
            <w:tcW w:type="dxa" w:w="1514"/>
          </w:tcPr>
          <w:p>
            <w:pPr>
              <w:spacing w:before="20" w:after="20"/>
            </w:pPr>
            <w:r/>
            <w:r>
              <w:rPr>
                <w:rFonts w:ascii="Verdana" w:hAnsi="Verdana"/>
                <w:b w:val="0"/>
                <w:sz w:val="16"/>
              </w:rPr>
              <w:t>Jour</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0 04 004</w:t>
            </w:r>
          </w:p>
        </w:tc>
        <w:tc>
          <w:tcPr>
            <w:tcW w:type="dxa" w:w="1514"/>
          </w:tcPr>
          <w:p>
            <w:pPr>
              <w:spacing w:before="20" w:after="20"/>
            </w:pPr>
            <w:r/>
            <w:r>
              <w:rPr>
                <w:rFonts w:ascii="Verdana" w:hAnsi="Verdana"/>
                <w:b w:val="0"/>
                <w:sz w:val="16"/>
              </w:rPr>
              <w:t>Heure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0 04 005</w:t>
            </w:r>
          </w:p>
        </w:tc>
        <w:tc>
          <w:tcPr>
            <w:tcW w:type="dxa" w:w="1514"/>
          </w:tcPr>
          <w:p>
            <w:pPr>
              <w:spacing w:before="20" w:after="20"/>
            </w:pPr>
            <w:r/>
            <w:r>
              <w:rPr>
                <w:rFonts w:ascii="Verdana" w:hAnsi="Verdana"/>
                <w:b w:val="0"/>
                <w:sz w:val="16"/>
              </w:rPr>
              <w:t>Minute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0 04 006</w:t>
            </w:r>
          </w:p>
        </w:tc>
        <w:tc>
          <w:tcPr>
            <w:tcW w:type="dxa" w:w="1514"/>
          </w:tcPr>
          <w:p>
            <w:pPr>
              <w:spacing w:before="20" w:after="20"/>
            </w:pPr>
            <w:r/>
            <w:r>
              <w:rPr>
                <w:rFonts w:ascii="Verdana" w:hAnsi="Verdana"/>
                <w:b w:val="0"/>
                <w:sz w:val="16"/>
              </w:rPr>
              <w:t>Seconde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0 04 007</w:t>
            </w:r>
          </w:p>
        </w:tc>
        <w:tc>
          <w:tcPr>
            <w:tcW w:type="dxa" w:w="1514"/>
          </w:tcPr>
          <w:p>
            <w:pPr>
              <w:spacing w:before="20" w:after="20"/>
            </w:pPr>
            <w:r/>
            <w:r>
              <w:rPr>
                <w:rFonts w:ascii="Verdana" w:hAnsi="Verdana"/>
                <w:b w:val="0"/>
                <w:sz w:val="16"/>
              </w:rPr>
              <w:t>Secondes par minute (à la microseconde près)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0 04 011</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0 04 012</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0 04 013</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0 04 014</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0 04 015</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0 04 016</w:t>
            </w:r>
          </w:p>
        </w:tc>
        <w:tc>
          <w:tcPr>
            <w:tcW w:type="dxa" w:w="1514"/>
          </w:tcPr>
          <w:p>
            <w:pPr>
              <w:spacing w:before="20" w:after="20"/>
            </w:pPr>
            <w:r/>
            <w:r>
              <w:rPr>
                <w:rFonts w:ascii="Verdana" w:hAnsi="Verdana"/>
                <w:b w:val="0"/>
                <w:sz w:val="16"/>
              </w:rPr>
              <w:t>Incrément temporel</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0 04 017</w:t>
            </w:r>
          </w:p>
        </w:tc>
        <w:tc>
          <w:tcPr>
            <w:tcW w:type="dxa" w:w="1514"/>
          </w:tcPr>
          <w:p>
            <w:pPr>
              <w:spacing w:before="20" w:after="20"/>
            </w:pPr>
            <w:r/>
            <w:r>
              <w:rPr>
                <w:rFonts w:ascii="Verdana" w:hAnsi="Verdana"/>
                <w:b w:val="0"/>
                <w:sz w:val="16"/>
              </w:rPr>
              <w:t>Période de référence pour les données relatives à des valeurs accumulées ou extrêmes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0 04 021</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0 04 022</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0 04 023</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0 04 024</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0 04 025</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0 04 026</w:t>
            </w:r>
          </w:p>
        </w:tc>
        <w:tc>
          <w:tcPr>
            <w:tcW w:type="dxa" w:w="1514"/>
          </w:tcPr>
          <w:p>
            <w:pPr>
              <w:spacing w:before="20" w:after="20"/>
            </w:pPr>
            <w:r/>
            <w:r>
              <w:rPr>
                <w:rFonts w:ascii="Verdana" w:hAnsi="Verdana"/>
                <w:b w:val="0"/>
                <w:sz w:val="16"/>
              </w:rPr>
              <w:t>Période ou décalage dans le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0 04 031</w:t>
            </w:r>
          </w:p>
        </w:tc>
        <w:tc>
          <w:tcPr>
            <w:tcW w:type="dxa" w:w="1514"/>
          </w:tcPr>
          <w:p>
            <w:pPr>
              <w:spacing w:before="20" w:after="20"/>
            </w:pPr>
            <w:r/>
            <w:r>
              <w:rPr>
                <w:rFonts w:ascii="Verdana" w:hAnsi="Verdana"/>
                <w:b w:val="0"/>
                <w:sz w:val="16"/>
              </w:rPr>
              <w:t>Période à laquelle se rapporte la valeur suivante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0 04 032</w:t>
            </w:r>
          </w:p>
        </w:tc>
        <w:tc>
          <w:tcPr>
            <w:tcW w:type="dxa" w:w="1514"/>
          </w:tcPr>
          <w:p>
            <w:pPr>
              <w:spacing w:before="20" w:after="20"/>
            </w:pPr>
            <w:r/>
            <w:r>
              <w:rPr>
                <w:rFonts w:ascii="Verdana" w:hAnsi="Verdana"/>
                <w:b w:val="0"/>
                <w:sz w:val="16"/>
              </w:rPr>
              <w:t>Période à laquelle se rapporte la valeur suivante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0 04 041</w:t>
            </w:r>
          </w:p>
        </w:tc>
        <w:tc>
          <w:tcPr>
            <w:tcW w:type="dxa" w:w="1514"/>
          </w:tcPr>
          <w:p>
            <w:pPr>
              <w:spacing w:before="20" w:after="20"/>
            </w:pPr>
            <w:r/>
            <w:r>
              <w:rPr>
                <w:rFonts w:ascii="Verdana" w:hAnsi="Verdana"/>
                <w:b w:val="0"/>
                <w:sz w:val="16"/>
              </w:rPr>
              <w:t>Décalage dans le temps UTC-LMT</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48: Le descripteur 0 04 041, remplacé par la combinaison des descripteurs 0 08 025 et 0 26 003, ne doit pas être utilisé pour le codage de cet élément.</w:t>
            </w:r>
          </w:p>
        </w:tc>
      </w:tr>
      <w:tr>
        <w:trPr>
          <w:cantSplit/>
        </w:trPr>
        <w:tc>
          <w:tcPr>
            <w:tcW w:type="dxa" w:w="1514"/>
          </w:tcPr>
          <w:p>
            <w:pPr>
              <w:spacing w:before="20" w:after="20"/>
            </w:pPr>
            <w:r/>
            <w:r>
              <w:rPr>
                <w:rFonts w:ascii="Verdana" w:hAnsi="Verdana"/>
                <w:b w:val="0"/>
                <w:sz w:val="16"/>
              </w:rPr>
              <w:t>0 04 043</w:t>
            </w:r>
          </w:p>
        </w:tc>
        <w:tc>
          <w:tcPr>
            <w:tcW w:type="dxa" w:w="1514"/>
          </w:tcPr>
          <w:p>
            <w:pPr>
              <w:spacing w:before="20" w:after="20"/>
            </w:pPr>
            <w:r/>
            <w:r>
              <w:rPr>
                <w:rFonts w:ascii="Verdana" w:hAnsi="Verdana"/>
                <w:b w:val="0"/>
                <w:sz w:val="16"/>
              </w:rPr>
              <w:t>Jour de l'année</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0 04 051</w:t>
            </w:r>
          </w:p>
        </w:tc>
        <w:tc>
          <w:tcPr>
            <w:tcW w:type="dxa" w:w="1514"/>
          </w:tcPr>
          <w:p>
            <w:pPr>
              <w:spacing w:before="20" w:after="20"/>
            </w:pPr>
            <w:r/>
            <w:r>
              <w:rPr>
                <w:rFonts w:ascii="Verdana" w:hAnsi="Verdana"/>
                <w:b w:val="0"/>
                <w:sz w:val="16"/>
              </w:rPr>
              <w:t>Heure principale à laquelle la température maximale est relevée quotidiennement</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0 04 052</w:t>
            </w:r>
          </w:p>
        </w:tc>
        <w:tc>
          <w:tcPr>
            <w:tcW w:type="dxa" w:w="1514"/>
          </w:tcPr>
          <w:p>
            <w:pPr>
              <w:spacing w:before="20" w:after="20"/>
            </w:pPr>
            <w:r/>
            <w:r>
              <w:rPr>
                <w:rFonts w:ascii="Verdana" w:hAnsi="Verdana"/>
                <w:b w:val="0"/>
                <w:sz w:val="16"/>
              </w:rPr>
              <w:t>Heure principale à laquelle la température minimale est relevée quotidiennement</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0 04 053</w:t>
            </w:r>
          </w:p>
        </w:tc>
        <w:tc>
          <w:tcPr>
            <w:tcW w:type="dxa" w:w="1514"/>
          </w:tcPr>
          <w:p>
            <w:pPr>
              <w:spacing w:before="20" w:after="20"/>
            </w:pPr>
            <w:r/>
            <w:r>
              <w:rPr>
                <w:rFonts w:ascii="Verdana" w:hAnsi="Verdana"/>
                <w:b w:val="0"/>
                <w:sz w:val="16"/>
              </w:rPr>
              <w:t>Nombre de jours avec précipitations égales ou supérieures à 1 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0 04 059</w:t>
            </w:r>
          </w:p>
        </w:tc>
        <w:tc>
          <w:tcPr>
            <w:tcW w:type="dxa" w:w="1514"/>
          </w:tcPr>
          <w:p>
            <w:pPr>
              <w:spacing w:before="20" w:after="20"/>
            </w:pPr>
            <w:r/>
            <w:r>
              <w:rPr>
                <w:rFonts w:ascii="Verdana" w:hAnsi="Verdana"/>
                <w:b w:val="0"/>
                <w:sz w:val="16"/>
              </w:rPr>
              <w:t>Heures des observations servant à calculer les valeurs moyennes transmises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0 04 065</w:t>
            </w:r>
          </w:p>
        </w:tc>
        <w:tc>
          <w:tcPr>
            <w:tcW w:type="dxa" w:w="1514"/>
          </w:tcPr>
          <w:p>
            <w:pPr>
              <w:spacing w:before="20" w:after="20"/>
            </w:pPr>
            <w:r/>
            <w:r>
              <w:rPr>
                <w:rFonts w:ascii="Verdana" w:hAnsi="Verdana"/>
                <w:b w:val="0"/>
                <w:sz w:val="16"/>
              </w:rPr>
              <w:t>Incrément de courte durée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0 04 066</w:t>
            </w:r>
          </w:p>
        </w:tc>
        <w:tc>
          <w:tcPr>
            <w:tcW w:type="dxa" w:w="1514"/>
          </w:tcPr>
          <w:p>
            <w:pPr>
              <w:spacing w:before="20" w:after="20"/>
            </w:pPr>
            <w:r/>
            <w:r>
              <w:rPr>
                <w:rFonts w:ascii="Verdana" w:hAnsi="Verdana"/>
                <w:b w:val="0"/>
                <w:sz w:val="16"/>
              </w:rPr>
              <w:t>Incrément temporel de courte durée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0 04 073</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0 04 074</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0 04 075</w:t>
            </w:r>
          </w:p>
        </w:tc>
        <w:tc>
          <w:tcPr>
            <w:tcW w:type="dxa" w:w="1514"/>
          </w:tcPr>
          <w:p>
            <w:pPr>
              <w:spacing w:before="20" w:after="20"/>
            </w:pPr>
            <w:r/>
            <w:r>
              <w:rPr>
                <w:rFonts w:ascii="Verdana" w:hAnsi="Verdana"/>
                <w:b w:val="0"/>
                <w:sz w:val="16"/>
              </w:rPr>
              <w:t>Période ou décalage dans le temps de courte durée</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0 04 080</w:t>
            </w:r>
          </w:p>
        </w:tc>
        <w:tc>
          <w:tcPr>
            <w:tcW w:type="dxa" w:w="1514"/>
          </w:tcPr>
          <w:p>
            <w:pPr>
              <w:spacing w:before="20" w:after="20"/>
            </w:pPr>
            <w:r/>
            <w:r>
              <w:rPr>
                <w:rFonts w:ascii="Verdana" w:hAnsi="Verdana"/>
                <w:b w:val="0"/>
                <w:sz w:val="16"/>
              </w:rPr>
              <w:t>Période à laquelle correspond la valeur moyenne qui suit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0 04 086</w:t>
            </w:r>
          </w:p>
        </w:tc>
        <w:tc>
          <w:tcPr>
            <w:tcW w:type="dxa" w:w="1514"/>
          </w:tcPr>
          <w:p>
            <w:pPr>
              <w:spacing w:before="20" w:after="20"/>
            </w:pPr>
            <w:r/>
            <w:r>
              <w:rPr>
                <w:rFonts w:ascii="Verdana" w:hAnsi="Verdana"/>
                <w:b w:val="0"/>
                <w:sz w:val="16"/>
              </w:rPr>
              <w:t>Période ou décalage dans le temps de longue durée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