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6 : Position (horizontale - 2)</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NOM DE L'ÉLÉMENT</w:t>
            </w:r>
          </w:p>
        </w:tc>
        <w:tc>
          <w:tcPr>
            <w:tcW w:type="dxa" w:w="1514"/>
            <w:shd w:val="clear" w:color="auto" w:fill="D9D9D9"/>
          </w:tcPr>
          <w:p>
            <w:pPr>
              <w:spacing w:before="20" w:after="20"/>
            </w:pPr>
            <w:r/>
            <w:r>
              <w:rPr>
                <w:rFonts w:ascii="Verdana" w:hAnsi="Verdana"/>
                <w:b w:val="0"/>
                <w:sz w:val="16"/>
              </w:rPr>
              <w:t>UNITÉ BUFR</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VAL. RÉF.</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UNITÉ CREX</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CAR.</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0 06 001</w:t>
            </w:r>
          </w:p>
        </w:tc>
        <w:tc>
          <w:tcPr>
            <w:tcW w:type="dxa" w:w="1514"/>
          </w:tcPr>
          <w:p>
            <w:pPr>
              <w:spacing w:before="20" w:after="20"/>
            </w:pPr>
            <w:r/>
            <w:r>
              <w:rPr>
                <w:rFonts w:ascii="Verdana" w:hAnsi="Verdana"/>
                <w:b w:val="0"/>
                <w:sz w:val="16"/>
              </w:rPr>
              <w:t>Longitude (précision élevée)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-18000000</w:t>
            </w:r>
          </w:p>
        </w:tc>
        <w:tc>
          <w:tcPr>
            <w:tcW w:type="dxa" w:w="1514"/>
          </w:tcPr>
          <w:p>
            <w:pPr>
              <w:spacing w:before="20" w:after="20"/>
            </w:pPr>
            <w:r/>
            <w:r>
              <w:rPr>
                <w:rFonts w:ascii="Verdana" w:hAnsi="Verdana"/>
                <w:b w:val="0"/>
                <w:sz w:val="16"/>
              </w:rPr>
              <w:t>26</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0 06 002</w:t>
            </w:r>
          </w:p>
        </w:tc>
        <w:tc>
          <w:tcPr>
            <w:tcW w:type="dxa" w:w="1514"/>
          </w:tcPr>
          <w:p>
            <w:pPr>
              <w:spacing w:before="20" w:after="20"/>
            </w:pPr>
            <w:r/>
            <w:r>
              <w:rPr>
                <w:rFonts w:ascii="Verdana" w:hAnsi="Verdana"/>
                <w:b w:val="0"/>
                <w:sz w:val="16"/>
              </w:rPr>
              <w:t>Longitude (faible précision)</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-18000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0 06 011</w:t>
            </w:r>
          </w:p>
        </w:tc>
        <w:tc>
          <w:tcPr>
            <w:tcW w:type="dxa" w:w="1514"/>
          </w:tcPr>
          <w:p>
            <w:pPr>
              <w:spacing w:before="20" w:after="20"/>
            </w:pPr>
            <w:r/>
            <w:r>
              <w:rPr>
                <w:rFonts w:ascii="Verdana" w:hAnsi="Verdana"/>
                <w:b w:val="0"/>
                <w:sz w:val="16"/>
              </w:rPr>
              <w:t>Incrément de longitude (précision élevée)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-18000000</w:t>
            </w:r>
          </w:p>
        </w:tc>
        <w:tc>
          <w:tcPr>
            <w:tcW w:type="dxa" w:w="1514"/>
          </w:tcPr>
          <w:p>
            <w:pPr>
              <w:spacing w:before="20" w:after="20"/>
            </w:pPr>
            <w:r/>
            <w:r>
              <w:rPr>
                <w:rFonts w:ascii="Verdana" w:hAnsi="Verdana"/>
                <w:b w:val="0"/>
                <w:sz w:val="16"/>
              </w:rPr>
              <w:t>26</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0 06 012</w:t>
            </w:r>
          </w:p>
        </w:tc>
        <w:tc>
          <w:tcPr>
            <w:tcW w:type="dxa" w:w="1514"/>
          </w:tcPr>
          <w:p>
            <w:pPr>
              <w:spacing w:before="20" w:after="20"/>
            </w:pPr>
            <w:r/>
            <w:r>
              <w:rPr>
                <w:rFonts w:ascii="Verdana" w:hAnsi="Verdana"/>
                <w:b w:val="0"/>
                <w:sz w:val="16"/>
              </w:rPr>
              <w:t>Incrément de longitude (faible précision)</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-18000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0 06 015</w:t>
            </w:r>
          </w:p>
        </w:tc>
        <w:tc>
          <w:tcPr>
            <w:tcW w:type="dxa" w:w="1514"/>
          </w:tcPr>
          <w:p>
            <w:pPr>
              <w:spacing w:before="20" w:after="20"/>
            </w:pPr>
            <w:r/>
            <w:r>
              <w:rPr>
                <w:rFonts w:ascii="Verdana" w:hAnsi="Verdana"/>
                <w:b w:val="0"/>
                <w:sz w:val="16"/>
              </w:rPr>
              <w:t>Décalage en longitude (précision élevée)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-18000000</w:t>
            </w:r>
          </w:p>
        </w:tc>
        <w:tc>
          <w:tcPr>
            <w:tcW w:type="dxa" w:w="1514"/>
          </w:tcPr>
          <w:p>
            <w:pPr>
              <w:spacing w:before="20" w:after="20"/>
            </w:pPr>
            <w:r/>
            <w:r>
              <w:rPr>
                <w:rFonts w:ascii="Verdana" w:hAnsi="Verdana"/>
                <w:b w:val="0"/>
                <w:sz w:val="16"/>
              </w:rPr>
              <w:t>26</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0 06 016</w:t>
            </w:r>
          </w:p>
        </w:tc>
        <w:tc>
          <w:tcPr>
            <w:tcW w:type="dxa" w:w="1514"/>
          </w:tcPr>
          <w:p>
            <w:pPr>
              <w:spacing w:before="20" w:after="20"/>
            </w:pPr>
            <w:r/>
            <w:r>
              <w:rPr>
                <w:rFonts w:ascii="Verdana" w:hAnsi="Verdana"/>
                <w:b w:val="0"/>
                <w:sz w:val="16"/>
              </w:rPr>
              <w:t>Décalage en longitude (faible précision)</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-18000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0 06 021</w:t>
            </w:r>
          </w:p>
        </w:tc>
        <w:tc>
          <w:tcPr>
            <w:tcW w:type="dxa" w:w="1514"/>
          </w:tcPr>
          <w:p>
            <w:pPr>
              <w:spacing w:before="20" w:after="20"/>
            </w:pPr>
            <w:r/>
            <w:r>
              <w:rPr>
                <w:rFonts w:ascii="Verdana" w:hAnsi="Verdana"/>
                <w:b w:val="0"/>
                <w:sz w:val="16"/>
              </w:rPr>
              <w:t>Distance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0 06 029</w:t>
            </w:r>
          </w:p>
        </w:tc>
        <w:tc>
          <w:tcPr>
            <w:tcW w:type="dxa" w:w="1514"/>
          </w:tcPr>
          <w:p>
            <w:pPr>
              <w:spacing w:before="20" w:after="20"/>
            </w:pPr>
            <w:r/>
            <w:r>
              <w:rPr>
                <w:rFonts w:ascii="Verdana" w:hAnsi="Verdana"/>
                <w:b w:val="0"/>
                <w:sz w:val="16"/>
              </w:rPr>
              <w:t>Nombre d'ondes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0 06 030</w:t>
            </w:r>
          </w:p>
        </w:tc>
        <w:tc>
          <w:tcPr>
            <w:tcW w:type="dxa" w:w="1514"/>
          </w:tcPr>
          <w:p>
            <w:pPr>
              <w:spacing w:before="20" w:after="20"/>
            </w:pPr>
            <w:r/>
            <w:r>
              <w:rPr>
                <w:rFonts w:ascii="Verdana" w:hAnsi="Verdana"/>
                <w:b w:val="0"/>
                <w:sz w:val="16"/>
              </w:rPr>
              <w:t>Numéro d'onde (spectrale)</w:t>
            </w:r>
          </w:p>
        </w:tc>
        <w:tc>
          <w:tcPr>
            <w:tcW w:type="dxa" w:w="1514"/>
          </w:tcPr>
          <w:p>
            <w:pPr>
              <w:spacing w:before="20" w:after="20"/>
            </w:pPr>
            <w:r/>
            <w:r>
              <w:rPr>
                <w:rFonts w:ascii="Verdana" w:hAnsi="Verdana"/>
                <w:sz w:val="16"/>
              </w:rPr>
              <w:t>rad/m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rad/m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0 06 031</w:t>
            </w:r>
          </w:p>
        </w:tc>
        <w:tc>
          <w:tcPr>
            <w:tcW w:type="dxa" w:w="1514"/>
          </w:tcPr>
          <w:p>
            <w:pPr>
              <w:spacing w:before="20" w:after="20"/>
            </w:pPr>
            <w:r/>
            <w:r>
              <w:rPr>
                <w:rFonts w:ascii="Verdana" w:hAnsi="Verdana"/>
                <w:b w:val="0"/>
                <w:sz w:val="16"/>
              </w:rPr>
              <w:t>Numéro de la rangée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0 06 032</w:t>
            </w:r>
          </w:p>
        </w:tc>
        <w:tc>
          <w:tcPr>
            <w:tcW w:type="dxa" w:w="1514"/>
          </w:tcPr>
          <w:p>
            <w:pPr>
              <w:spacing w:before="20" w:after="20"/>
            </w:pPr>
            <w:r/>
            <w:r>
              <w:rPr>
                <w:rFonts w:ascii="Verdana" w:hAnsi="Verdana"/>
                <w:b w:val="0"/>
                <w:sz w:val="16"/>
              </w:rPr>
              <w:t>Décalage X (voir la note 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-1073741824</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b w:val="0"/>
                <w:sz w:val="16"/>
              </w:rPr>
              <w:t>Note 183: Le décalage X est la distance entre l’origine de la projection et le coin supérieur gauche du pixel le plus en haut à gauche d’une carte, comme l’illustre le schéma ci-dessous: Pixel du coin supérieur gauche Décalage Y Décalage X Origine de la projection / \ 11 // / / / I /</w:t>
            </w:r>
          </w:p>
        </w:tc>
      </w:tr>
      <w:tr>
        <w:trPr>
          <w:cantSplit/>
        </w:trPr>
        <w:tc>
          <w:tcPr>
            <w:tcW w:type="dxa" w:w="1514"/>
          </w:tcPr>
          <w:p>
            <w:pPr>
              <w:spacing w:before="20" w:after="20"/>
            </w:pPr>
            <w:r/>
            <w:r>
              <w:rPr>
                <w:rFonts w:ascii="Verdana" w:hAnsi="Verdana"/>
                <w:b w:val="0"/>
                <w:sz w:val="16"/>
              </w:rPr>
              <w:t>0 06 033</w:t>
            </w:r>
          </w:p>
        </w:tc>
        <w:tc>
          <w:tcPr>
            <w:tcW w:type="dxa" w:w="1514"/>
          </w:tcPr>
          <w:p>
            <w:pPr>
              <w:spacing w:before="20" w:after="20"/>
            </w:pPr>
            <w:r/>
            <w:r>
              <w:rPr>
                <w:rFonts w:ascii="Verdana" w:hAnsi="Verdana"/>
                <w:b w:val="0"/>
                <w:sz w:val="16"/>
              </w:rPr>
              <w:t>Taille des pixels sur l'horizontale - 2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0 06 034</w:t>
            </w:r>
          </w:p>
        </w:tc>
        <w:tc>
          <w:tcPr>
            <w:tcW w:type="dxa" w:w="1514"/>
          </w:tcPr>
          <w:p>
            <w:pPr>
              <w:spacing w:before="20" w:after="20"/>
            </w:pPr>
            <w:r/>
            <w:r>
              <w:rPr>
                <w:rFonts w:ascii="Verdana" w:hAnsi="Verdana"/>
                <w:b w:val="0"/>
                <w:sz w:val="16"/>
              </w:rPr>
              <w:t>Numéro de cellule dans le plan transversal</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0 06 035</w:t>
            </w:r>
          </w:p>
        </w:tc>
        <w:tc>
          <w:tcPr>
            <w:tcW w:type="dxa" w:w="1514"/>
          </w:tcPr>
          <w:p>
            <w:pPr>
              <w:spacing w:before="20" w:after="20"/>
            </w:pPr>
            <w:r/>
            <w:r>
              <w:rPr>
                <w:rFonts w:ascii="Verdana" w:hAnsi="Verdana"/>
                <w:b w:val="0"/>
                <w:sz w:val="16"/>
              </w:rPr>
              <w:t>Taille maximale de la dimension y</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0 06 040</w:t>
            </w:r>
          </w:p>
        </w:tc>
        <w:tc>
          <w:tcPr>
            <w:tcW w:type="dxa" w:w="1514"/>
          </w:tcPr>
          <w:p>
            <w:pPr>
              <w:spacing w:before="20" w:after="20"/>
            </w:pPr>
            <w:r/>
            <w:r>
              <w:rPr>
                <w:rFonts w:ascii="Verdana" w:hAnsi="Verdana"/>
                <w:b w:val="0"/>
                <w:sz w:val="16"/>
              </w:rPr>
              <w:t>Rayon de confiance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bl>
    <w:p/>
    <w:p>
      <w:r>
        <w:rPr>
          <w:rFonts w:ascii="Verdana" w:hAnsi="Verdana"/>
          <w:i/>
          <w:sz w:val="14"/>
        </w:rPr>
        <w:t>Note 23: Une valeur de précipitation de –0,1 kg m –2 avant la mise à l’échelle (–1 après la mise à l’échelle ou en CREX) indique qu’il y a «trace» de précipitations (non mesurable, moins de 0,05 kg m –2 )</w:t>
      </w:r>
    </w:p>
    <w:p>
      <w:r>
        <w:rPr>
          <w:rFonts w:ascii="Verdana" w:hAnsi="Verdana"/>
          <w:i/>
          <w:sz w:val="14"/>
        </w:rPr>
        <w:t>Note 25: Il est possible d’annuler une signification précédemment définie en transmettant une «valeur manquante» à partir de la table de code ou de la table d’indicateurs appropriée.</w:t>
      </w:r>
    </w:p>
    <w:p>
      <w:r>
        <w:rPr>
          <w:rFonts w:ascii="Verdana" w:hAnsi="Verdana"/>
          <w:i/>
          <w:sz w:val="14"/>
        </w:rPr>
        <w:t>Note 27: Sauf indication contraire, tous les temps sont des temps universels coordonnés (UTC).</w:t>
      </w:r>
    </w:p>
    <w:p>
      <w:r>
        <w:rPr>
          <w:rFonts w:ascii="Verdana" w:hAnsi="Verdana"/>
          <w:i/>
          <w:sz w:val="14"/>
        </w:rPr>
        <w:t>Note 32: La direction ou l’azimut ne sont utilisés que par rapport à une position donnée; ils n’ont pas pour objet de définir à nouveau cette position.</w:t>
      </w:r>
    </w:p>
    <w:p>
      <w:r>
        <w:rPr>
          <w:rFonts w:ascii="Verdana" w:hAnsi="Verdana"/>
          <w:i/>
          <w:sz w:val="14"/>
        </w:rPr>
        <w:t>Note 62: La distance n’est indiquée que par rapport à une position donnée et une direction, un azimut ou une hauteur angulaire; elle n’a pas pour objet de définir à nouveau cette position.</w:t>
      </w:r>
    </w:p>
    <w:p>
      <w:r>
        <w:rPr>
          <w:rFonts w:ascii="Verdana" w:hAnsi="Verdana"/>
          <w:i/>
          <w:sz w:val="14"/>
        </w:rPr>
        <w:t>Note 63: Le rayonnement descendant est indiqué par des valeurs positives.</w:t>
      </w:r>
    </w:p>
    <w:p>
      <w:r>
        <w:rPr>
          <w:rFonts w:ascii="Verdana" w:hAnsi="Verdana"/>
          <w:i/>
          <w:sz w:val="14"/>
        </w:rPr>
        <w:t>Note 64: Les composantes w descendantes sont indiquées par des valeurs positives, pour lesquelles l’unité est le Pa s –1 .</w:t>
      </w:r>
    </w:p>
    <w:p>
      <w:r>
        <w:rPr>
          <w:rFonts w:ascii="Verdana" w:hAnsi="Verdana"/>
          <w:i/>
          <w:sz w:val="14"/>
        </w:rPr>
        <w:t>Note 66: Les incréments dans le sens est-ouest sont indiqués par des valeurs négatives.</w:t>
      </w:r>
    </w:p>
    <w:p>
      <w:r>
        <w:rPr>
          <w:rFonts w:ascii="Verdana" w:hAnsi="Verdana"/>
          <w:i/>
          <w:sz w:val="14"/>
        </w:rPr>
        <w:t>Note 92: Afin qu’il soit possible de distinguer sans ambiguïté les cas de valeurs manquantes et de pixels saturés, les données d’image de n bits doivent être codées à l’aide d’un champs de données de n+1. Lorsqu’un tel descripteur n’est pas déjà disponible dans la classe 30, on utilise un descripteur d’opération 2 01 YYY pour modifier le champ de données de l’entrée existante, selon les besoins.</w:t>
      </w:r>
    </w:p>
    <w:p>
      <w:r>
        <w:rPr>
          <w:rFonts w:ascii="Verdana" w:hAnsi="Verdana"/>
          <w:i/>
          <w:sz w:val="14"/>
        </w:rPr>
        <w:t>Note 105: Les périodes ou les décalages dans le temps négatifs sont utilisés pour indiquer les périodes ou les décalages dans le temps précédant le temps généralement défini.</w:t>
      </w:r>
    </w:p>
    <w:p>
      <w:r>
        <w:rPr>
          <w:rFonts w:ascii="Verdana" w:hAnsi="Verdana"/>
          <w:i/>
          <w:sz w:val="14"/>
        </w:rPr>
        <w:t>Note 110: Les incréments dans le sens nord–sud sont indiqués par des valeurs négatives.</w:t>
      </w:r>
    </w:p>
    <w:p>
      <w:r>
        <w:rPr>
          <w:rFonts w:ascii="Verdana" w:hAnsi="Verdana"/>
          <w:i/>
          <w:sz w:val="14"/>
        </w:rPr>
        <w:t>Note 115: Le champ de données des pixels peut être modifié au moyen du descripteur 2 01 YYY.</w:t>
      </w:r>
    </w:p>
    <w:p>
      <w:r>
        <w:rPr>
          <w:rFonts w:ascii="Verdana" w:hAnsi="Verdana"/>
          <w:i/>
          <w:sz w:val="14"/>
        </w:rPr>
        <w:t>Note 121: Pour certains éléments de cette classe, une indication de la précision escomptée peut être implicite.</w:t>
      </w:r>
    </w:p>
    <w:p>
      <w:r>
        <w:rPr>
          <w:rFonts w:ascii="Verdana" w:hAnsi="Verdana"/>
          <w:i/>
          <w:sz w:val="14"/>
        </w:rPr>
        <w:t>Note 122: On attribue aux latitudes sud des valeurs négatives.</w:t>
      </w:r>
    </w:p>
    <w:p>
      <w:r>
        <w:rPr>
          <w:rFonts w:ascii="Verdana" w:hAnsi="Verdana"/>
          <w:i/>
          <w:sz w:val="14"/>
        </w:rPr>
        <w:t>Note 123: Les composantes v dans le sens sud–nord sont indiquées par des valeurs positives.</w:t>
      </w:r>
    </w:p>
    <w:p>
      <w:r>
        <w:rPr>
          <w:rFonts w:ascii="Verdana" w:hAnsi="Verdana"/>
          <w:i/>
          <w:sz w:val="14"/>
        </w:rPr>
        <w:t>Note 126: Les stations situées à moins de 1° du pôle Nord ou du pôle Sud chiffrent leurs observations de la direction du vent de surface avec le limbe d’azimut orienté de sorte que son zéro coïncide avec le méridien de Greenwich.</w:t>
      </w:r>
    </w:p>
    <w:p>
      <w:r>
        <w:rPr>
          <w:rFonts w:ascii="Verdana" w:hAnsi="Verdana"/>
          <w:i/>
          <w:sz w:val="14"/>
        </w:rPr>
        <w:t>Note 145: Pour indiquer à quoi se rapportent les périodes ou les décalages dans le temps, on peut se servir du code donné pour la caractéristique temporelle dans la table 0 08 021.</w:t>
      </w:r>
    </w:p>
    <w:p>
      <w:r>
        <w:rPr>
          <w:rFonts w:ascii="Verdana" w:hAnsi="Verdana"/>
          <w:i/>
          <w:sz w:val="14"/>
        </w:rPr>
        <w:t>Note 149: Lorsque la situation dans le temps correspond à des valeurs de prévision, elle indique le temps de l'état initial ou le début de la période de prévision; si elle correspond à des moyennes d'ensemble de valeurs de prévisions, elle indique l'état initial ou le début de la première prévision d'où les moyennes d'ensemble sont dérivées.</w:t>
      </w:r>
    </w:p>
    <w:p>
      <w:r>
        <w:rPr>
          <w:rFonts w:ascii="Verdana" w:hAnsi="Verdana"/>
          <w:i/>
          <w:sz w:val="14"/>
        </w:rPr>
        <w:t>Note 155: Cette classe peut aussi contenir des éléments concernant les méthodes d’observation.</w:t>
      </w:r>
    </w:p>
    <w:p>
      <w:r>
        <w:rPr>
          <w:rFonts w:ascii="Verdana" w:hAnsi="Verdana"/>
          <w:i/>
          <w:sz w:val="14"/>
        </w:rPr>
        <w:t>Note 156: La présente classe doit contenir des éléments décrivant les instruments utilisés pour obtenir les éléments météorologiques représentés.</w:t>
      </w:r>
    </w:p>
    <w:p>
      <w:r>
        <w:rPr>
          <w:rFonts w:ascii="Verdana" w:hAnsi="Verdana"/>
          <w:i/>
          <w:sz w:val="14"/>
        </w:rPr>
        <w:t>Note 158: Pour les périodes ou les décalages dans le temps et pour les incréments temporels, il faut préalablement une définition de l'origine de la position dans le temps, suivie, le cas échéant, d'une définition de l'élément qualificatif temporel.</w:t>
      </w:r>
    </w:p>
    <w:p>
      <w:r>
        <w:rPr>
          <w:rFonts w:ascii="Verdana" w:hAnsi="Verdana"/>
          <w:i/>
          <w:sz w:val="14"/>
        </w:rPr>
        <w:t>Note 160: Le rayonnement ascendant est indiqué par des valeurs négatives.</w:t>
      </w:r>
    </w:p>
    <w:p>
      <w:r>
        <w:rPr>
          <w:rFonts w:ascii="Verdana" w:hAnsi="Verdana"/>
          <w:i/>
          <w:sz w:val="14"/>
        </w:rPr>
        <w:t>Note 161: Les composantes w ascendantes sont indiquées par des valeurs positives, pour lesquelles l’unité est le m s –1 .</w:t>
      </w:r>
    </w:p>
    <w:p>
      <w:r>
        <w:rPr>
          <w:rFonts w:ascii="Verdana" w:hAnsi="Verdana"/>
          <w:i/>
          <w:sz w:val="14"/>
        </w:rPr>
        <w:t>Note 162: Intervalles utiles utilisés ci-dessus: 10 11 Bq à 10 19 Bq pour les rejets; 10 –2 Bq à 10 7 Bq et 10 –2 mSv à 10 7 mSv pour la concentration et les doses.</w:t>
      </w:r>
    </w:p>
    <w:p>
      <w:r>
        <w:rPr>
          <w:rFonts w:ascii="Verdana" w:hAnsi="Verdana"/>
          <w:i/>
          <w:sz w:val="14"/>
        </w:rPr>
        <w:t>Note 163: Les valeurs de la latitude et de l’incrément de latitude se situent dans les limites de la plage allant de –90 degrés à +90 degrés.</w:t>
      </w:r>
    </w:p>
    <w:p>
      <w:r>
        <w:rPr>
          <w:rFonts w:ascii="Verdana" w:hAnsi="Verdana"/>
          <w:i/>
          <w:sz w:val="14"/>
        </w:rPr>
        <w:t>Note 164: Les valeurs de longitude se situent dans les limites de la plage allant de –180 degrés à +180 degrés.</w:t>
      </w:r>
    </w:p>
    <w:p>
      <w:r>
        <w:rPr>
          <w:rFonts w:ascii="Verdana" w:hAnsi="Verdana"/>
          <w:i/>
          <w:sz w:val="14"/>
        </w:rPr>
        <w:t>Note 165: Des données correspondant à des éléments verticaux et à la pression sont utilisées pour définir des valeurs de ces éléments indépendantes de l’élément ou de la variable déterminant la coordonnée verticale.</w:t>
      </w:r>
    </w:p>
    <w:p>
      <w:r>
        <w:rPr>
          <w:rFonts w:ascii="Verdana" w:hAnsi="Verdana"/>
          <w:i/>
          <w:sz w:val="14"/>
        </w:rPr>
        <w:t>Note 166: On attribue aux longitudes ouest des valeurs négatives.</w:t>
      </w:r>
    </w:p>
    <w:p>
      <w:r>
        <w:rPr>
          <w:rFonts w:ascii="Verdana" w:hAnsi="Verdana"/>
          <w:i/>
          <w:sz w:val="14"/>
        </w:rPr>
        <w:t>Note 167: Les composantes u dans le sens ouest–est sont indiquées par des valeurs positives.</w:t>
      </w:r>
    </w:p>
    <w:p>
      <w:r>
        <w:rPr>
          <w:rFonts w:ascii="Verdana" w:hAnsi="Verdana"/>
          <w:i/>
          <w:sz w:val="14"/>
        </w:rPr>
        <w:t>Note 176: Lorsqu'il faut plus d'une période ou d'un décalage dans le temps pour définir des indications temporelles complexes, les définitions se succèdent immédiatement, dans l'ordre suivant: période d'ensemble (le cas échéant); période de prévision (le cas échéant); période correspondant à une moyenne ou une accumulation (le cas échéant).</w:t>
      </w:r>
    </w:p>
    <w:p>
      <w:r>
        <w:rPr>
          <w:rFonts w:ascii="Verdana" w:hAnsi="Verdana"/>
          <w:i/>
          <w:sz w:val="14"/>
        </w:rPr>
        <w:t>Note 178: Lorsque la colonne Nom de l’élément porte la mention «sur une période déterminée», on précise, à l’aide de descripteurs de la classe 04, la période considérée.</w:t>
      </w:r>
    </w:p>
    <w:p>
      <w:r>
        <w:rPr>
          <w:rFonts w:ascii="Verdana" w:hAnsi="Verdana"/>
          <w:i/>
          <w:sz w:val="14"/>
        </w:rPr>
        <w:t>Note 179: Lorsqu’on établit une somme ou une moyenne (par exemple sur une certaine période), on peut représenter le nombre total de valeurs prises en considération pour obtenir cette somme ou cette moyenne en utilisant le descripteur 0 08 022.</w:t>
      </w:r>
    </w:p>
    <w:p>
      <w:r>
        <w:rPr>
          <w:rFonts w:ascii="Verdana" w:hAnsi="Verdana"/>
          <w:i/>
          <w:sz w:val="14"/>
        </w:rPr>
        <w:t>Note 180: Normes pour la transmission des vents: Vitesse Direction Pas d’observation Manquante Manquante Calme 0 0 Observation normale &gt; 0 1° – 360° Vitesse seulement &gt; 0 Manquante Direction seulement Manquante 1° – 360° «Léger et variable» &gt; 0 0</w:t>
      </w:r>
    </w:p>
    <w:p>
      <w:r>
        <w:rPr>
          <w:rFonts w:ascii="Verdana" w:hAnsi="Verdana"/>
          <w:i/>
          <w:sz w:val="14"/>
        </w:rPr>
        <w:t>Note 181: Normes pour la transmission des vagues de la mer du vent et des vagues: Observation Vitesse Direction Pas d’observation Manquante Manquante Calme 0 0 Observation normale &gt; 0 1° – 360° Vitesse seulement &gt; 0 Manquante Direction seulement Manquante 1° – 360° «Léger et variable» &gt; 0 0</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