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08 : Caractéristiques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0 08 001</w:t>
            </w:r>
          </w:p>
        </w:tc>
        <w:tc>
          <w:tcPr>
            <w:tcW w:type="dxa" w:w="1514"/>
          </w:tcPr>
          <w:p>
            <w:pPr>
              <w:spacing w:before="20" w:after="20"/>
            </w:pPr>
            <w:r/>
            <w:r>
              <w:rPr>
                <w:rFonts w:ascii="Verdana" w:hAnsi="Verdana"/>
                <w:b w:val="0"/>
                <w:sz w:val="16"/>
              </w:rPr>
              <w:t>Caractéristique correspondant à des données de sondage vertical</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0 08 002</w:t>
            </w:r>
          </w:p>
        </w:tc>
        <w:tc>
          <w:tcPr>
            <w:tcW w:type="dxa" w:w="1514"/>
          </w:tcPr>
          <w:p>
            <w:pPr>
              <w:spacing w:before="20" w:after="20"/>
            </w:pPr>
            <w:r/>
            <w:r>
              <w:rPr>
                <w:rFonts w:ascii="Verdana" w:hAnsi="Verdana"/>
                <w:b w:val="0"/>
                <w:sz w:val="16"/>
              </w:rPr>
              <w:t>Caractéristique verticale (observations en surface)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0 08 003</w:t>
            </w:r>
          </w:p>
        </w:tc>
        <w:tc>
          <w:tcPr>
            <w:tcW w:type="dxa" w:w="1514"/>
          </w:tcPr>
          <w:p>
            <w:pPr>
              <w:spacing w:before="20" w:after="20"/>
            </w:pPr>
            <w:r/>
            <w:r>
              <w:rPr>
                <w:rFonts w:ascii="Verdana" w:hAnsi="Verdana"/>
                <w:b w:val="0"/>
                <w:sz w:val="16"/>
              </w:rPr>
              <w:t>Caractéristique verticale (observations par satellite)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0 08 004</w:t>
            </w:r>
          </w:p>
        </w:tc>
        <w:tc>
          <w:tcPr>
            <w:tcW w:type="dxa" w:w="1514"/>
          </w:tcPr>
          <w:p>
            <w:pPr>
              <w:spacing w:before="20" w:after="20"/>
            </w:pPr>
            <w:r/>
            <w:r>
              <w:rPr>
                <w:rFonts w:ascii="Verdana" w:hAnsi="Verdana"/>
                <w:b w:val="0"/>
                <w:sz w:val="16"/>
              </w:rPr>
              <w:t>Phase de vol de l'aéronef</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0 08 005</w:t>
            </w:r>
          </w:p>
        </w:tc>
        <w:tc>
          <w:tcPr>
            <w:tcW w:type="dxa" w:w="1514"/>
          </w:tcPr>
          <w:p>
            <w:pPr>
              <w:spacing w:before="20" w:after="20"/>
            </w:pPr>
            <w:r/>
            <w:r>
              <w:rPr>
                <w:rFonts w:ascii="Verdana" w:hAnsi="Verdana"/>
                <w:b w:val="0"/>
                <w:sz w:val="16"/>
              </w:rPr>
              <w:t>Signification de la caractéristique météorologique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0 08 006</w:t>
            </w:r>
          </w:p>
        </w:tc>
        <w:tc>
          <w:tcPr>
            <w:tcW w:type="dxa" w:w="1514"/>
          </w:tcPr>
          <w:p>
            <w:pPr>
              <w:spacing w:before="20" w:after="20"/>
            </w:pPr>
            <w:r/>
            <w:r>
              <w:rPr>
                <w:rFonts w:ascii="Verdana" w:hAnsi="Verdana"/>
                <w:b w:val="0"/>
                <w:sz w:val="16"/>
              </w:rPr>
              <w:t>Caractéristique du sondage vertical de l'ozone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0 08 007</w:t>
            </w:r>
          </w:p>
        </w:tc>
        <w:tc>
          <w:tcPr>
            <w:tcW w:type="dxa" w:w="1514"/>
          </w:tcPr>
          <w:p>
            <w:pPr>
              <w:spacing w:before="20" w:after="20"/>
            </w:pPr>
            <w:r/>
            <w:r>
              <w:rPr>
                <w:rFonts w:ascii="Verdana" w:hAnsi="Verdana"/>
                <w:b w:val="0"/>
                <w:sz w:val="16"/>
              </w:rPr>
              <w:t>Caractéristique dimensionnelle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0 08 008</w:t>
            </w:r>
          </w:p>
        </w:tc>
        <w:tc>
          <w:tcPr>
            <w:tcW w:type="dxa" w:w="1514"/>
          </w:tcPr>
          <w:p>
            <w:pPr>
              <w:spacing w:before="20" w:after="20"/>
            </w:pPr>
            <w:r/>
            <w:r>
              <w:rPr>
                <w:rFonts w:ascii="Verdana" w:hAnsi="Verdana"/>
                <w:b w:val="0"/>
                <w:sz w:val="16"/>
              </w:rPr>
              <w:t>Caractéristique correspondant à des données de sondage vertical du rayonnement</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0 08 009</w:t>
            </w:r>
          </w:p>
        </w:tc>
        <w:tc>
          <w:tcPr>
            <w:tcW w:type="dxa" w:w="1514"/>
          </w:tcPr>
          <w:p>
            <w:pPr>
              <w:spacing w:before="20" w:after="20"/>
            </w:pPr>
            <w:r/>
            <w:r>
              <w:rPr>
                <w:rFonts w:ascii="Verdana" w:hAnsi="Verdana"/>
                <w:b w:val="0"/>
                <w:sz w:val="16"/>
              </w:rPr>
              <w:t>Phase de vol détaillée de l'aéronef</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0 08 010</w:t>
            </w:r>
          </w:p>
        </w:tc>
        <w:tc>
          <w:tcPr>
            <w:tcW w:type="dxa" w:w="1514"/>
          </w:tcPr>
          <w:p>
            <w:pPr>
              <w:spacing w:before="20" w:after="20"/>
            </w:pPr>
            <w:r/>
            <w:r>
              <w:rPr>
                <w:rFonts w:ascii="Verdana" w:hAnsi="Verdana"/>
                <w:b w:val="0"/>
                <w:sz w:val="16"/>
              </w:rPr>
              <w:t>Caractéristique de la surface (données de température)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0 08 011</w:t>
            </w:r>
          </w:p>
        </w:tc>
        <w:tc>
          <w:tcPr>
            <w:tcW w:type="dxa" w:w="1514"/>
          </w:tcPr>
          <w:p>
            <w:pPr>
              <w:spacing w:before="20" w:after="20"/>
            </w:pPr>
            <w:r/>
            <w:r>
              <w:rPr>
                <w:rFonts w:ascii="Verdana" w:hAnsi="Verdana"/>
                <w:b w:val="0"/>
                <w:sz w:val="16"/>
              </w:rPr>
              <w:t>Caractéristique météorologique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0 08 012</w:t>
            </w:r>
          </w:p>
        </w:tc>
        <w:tc>
          <w:tcPr>
            <w:tcW w:type="dxa" w:w="1514"/>
          </w:tcPr>
          <w:p>
            <w:pPr>
              <w:spacing w:before="20" w:after="20"/>
            </w:pPr>
            <w:r/>
            <w:r>
              <w:rPr>
                <w:rFonts w:ascii="Verdana" w:hAnsi="Verdana"/>
                <w:b w:val="0"/>
                <w:sz w:val="16"/>
              </w:rPr>
              <w:t>Identificateur terre/mer</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0 08 013</w:t>
            </w:r>
          </w:p>
        </w:tc>
        <w:tc>
          <w:tcPr>
            <w:tcW w:type="dxa" w:w="1514"/>
          </w:tcPr>
          <w:p>
            <w:pPr>
              <w:spacing w:before="20" w:after="20"/>
            </w:pPr>
            <w:r/>
            <w:r>
              <w:rPr>
                <w:rFonts w:ascii="Verdana" w:hAnsi="Verdana"/>
                <w:b w:val="0"/>
                <w:sz w:val="16"/>
              </w:rPr>
              <w:t>Identificateur jour/nuit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0 08 014</w:t>
            </w:r>
          </w:p>
        </w:tc>
        <w:tc>
          <w:tcPr>
            <w:tcW w:type="dxa" w:w="1514"/>
          </w:tcPr>
          <w:p>
            <w:pPr>
              <w:spacing w:before="20" w:after="20"/>
            </w:pPr>
            <w:r/>
            <w:r>
              <w:rPr>
                <w:rFonts w:ascii="Verdana" w:hAnsi="Verdana"/>
                <w:b w:val="0"/>
                <w:sz w:val="16"/>
              </w:rPr>
              <w:t>Identificateur pour la portée visuelle de piste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0 08 015</w:t>
            </w:r>
          </w:p>
        </w:tc>
        <w:tc>
          <w:tcPr>
            <w:tcW w:type="dxa" w:w="1514"/>
          </w:tcPr>
          <w:p>
            <w:pPr>
              <w:spacing w:before="20" w:after="20"/>
            </w:pPr>
            <w:r/>
            <w:r>
              <w:rPr>
                <w:rFonts w:ascii="Verdana" w:hAnsi="Verdana"/>
                <w:b w:val="0"/>
                <w:sz w:val="16"/>
              </w:rPr>
              <w:t>Caractéristique du capteur</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0 08 016</w:t>
            </w:r>
          </w:p>
        </w:tc>
        <w:tc>
          <w:tcPr>
            <w:tcW w:type="dxa" w:w="1514"/>
          </w:tcPr>
          <w:p>
            <w:pPr>
              <w:spacing w:before="20" w:after="20"/>
            </w:pPr>
            <w:r/>
            <w:r>
              <w:rPr>
                <w:rFonts w:ascii="Verdana" w:hAnsi="Verdana"/>
                <w:b w:val="0"/>
                <w:sz w:val="16"/>
              </w:rPr>
              <w:t>Identificateur de changement d'une prévision de type «tendance» ou d'une prévision d'aérodrome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0 08 017</w:t>
            </w:r>
          </w:p>
        </w:tc>
        <w:tc>
          <w:tcPr>
            <w:tcW w:type="dxa" w:w="1514"/>
          </w:tcPr>
          <w:p>
            <w:pPr>
              <w:spacing w:before="20" w:after="20"/>
            </w:pPr>
            <w:r/>
            <w:r>
              <w:rPr>
                <w:rFonts w:ascii="Verdana" w:hAnsi="Verdana"/>
                <w:b w:val="0"/>
                <w:sz w:val="16"/>
              </w:rPr>
              <w:t>Identificateur de l'heure à laquelle le changement de prévision est attendu</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0 08 018</w:t>
            </w:r>
          </w:p>
        </w:tc>
        <w:tc>
          <w:tcPr>
            <w:tcW w:type="dxa" w:w="1514"/>
          </w:tcPr>
          <w:p>
            <w:pPr>
              <w:spacing w:before="20" w:after="20"/>
            </w:pPr>
            <w:r/>
            <w:r>
              <w:rPr>
                <w:rFonts w:ascii="Verdana" w:hAnsi="Verdana"/>
                <w:b w:val="0"/>
                <w:sz w:val="16"/>
              </w:rPr>
              <w:t>Type de surface terre/glace mesurée par SEAWINDS</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0 08 019</w:t>
            </w:r>
          </w:p>
        </w:tc>
        <w:tc>
          <w:tcPr>
            <w:tcW w:type="dxa" w:w="1514"/>
          </w:tcPr>
          <w:p>
            <w:pPr>
              <w:spacing w:before="20" w:after="20"/>
            </w:pPr>
            <w:r/>
            <w:r>
              <w:rPr>
                <w:rFonts w:ascii="Verdana" w:hAnsi="Verdana"/>
                <w:b w:val="0"/>
                <w:sz w:val="16"/>
              </w:rPr>
              <w:t>Indicateur d'identification du centre suivant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0 08 020</w:t>
            </w:r>
          </w:p>
        </w:tc>
        <w:tc>
          <w:tcPr>
            <w:tcW w:type="dxa" w:w="1514"/>
          </w:tcPr>
          <w:p>
            <w:pPr>
              <w:spacing w:before="20" w:after="20"/>
            </w:pPr>
            <w:r/>
            <w:r>
              <w:rPr>
                <w:rFonts w:ascii="Verdana" w:hAnsi="Verdana"/>
                <w:b w:val="0"/>
                <w:sz w:val="16"/>
              </w:rPr>
              <w:t>Nombre total de valeurs manquantes (pour le calcul du total ou de la moyenne)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0 08 021</w:t>
            </w:r>
          </w:p>
        </w:tc>
        <w:tc>
          <w:tcPr>
            <w:tcW w:type="dxa" w:w="1514"/>
          </w:tcPr>
          <w:p>
            <w:pPr>
              <w:spacing w:before="20" w:after="20"/>
            </w:pPr>
            <w:r/>
            <w:r>
              <w:rPr>
                <w:rFonts w:ascii="Verdana" w:hAnsi="Verdana"/>
                <w:b w:val="0"/>
                <w:sz w:val="16"/>
              </w:rPr>
              <w:t>Caractéristique temporelle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0 08 022</w:t>
            </w:r>
          </w:p>
        </w:tc>
        <w:tc>
          <w:tcPr>
            <w:tcW w:type="dxa" w:w="1514"/>
          </w:tcPr>
          <w:p>
            <w:pPr>
              <w:spacing w:before="20" w:after="20"/>
            </w:pPr>
            <w:r/>
            <w:r>
              <w:rPr>
                <w:rFonts w:ascii="Verdana" w:hAnsi="Verdana"/>
                <w:b w:val="0"/>
                <w:sz w:val="16"/>
              </w:rPr>
              <w:t>Nombre total (dans le contexte d'une somme ou d'une moyenne)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0 08 023</w:t>
            </w:r>
          </w:p>
        </w:tc>
        <w:tc>
          <w:tcPr>
            <w:tcW w:type="dxa" w:w="1514"/>
          </w:tcPr>
          <w:p>
            <w:pPr>
              <w:spacing w:before="20" w:after="20"/>
            </w:pPr>
            <w:r/>
            <w:r>
              <w:rPr>
                <w:rFonts w:ascii="Verdana" w:hAnsi="Verdana"/>
                <w:b w:val="0"/>
                <w:sz w:val="16"/>
              </w:rPr>
              <w:t>Statistiques de premier ordre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70: Cette valeur correspond à l’altitude réelle et officielle de la station ou alors à la meilleure estimation de cette altitude. Elle est fournie à titre de comparaison avec l’altitude virtuelle fournie par le modèle. Les deux valeurs peuvent présenter une différence importante en terrain escarpé. Le facteur d’échelle a été augmenté pour permettre une comparaison directe de la valeur avec l’élément 0 07 030 qui suit.</w:t>
            </w:r>
          </w:p>
        </w:tc>
      </w:tr>
      <w:tr>
        <w:trPr>
          <w:cantSplit/>
        </w:trPr>
        <w:tc>
          <w:tcPr>
            <w:tcW w:type="dxa" w:w="1514"/>
          </w:tcPr>
          <w:p>
            <w:pPr>
              <w:spacing w:before="20" w:after="20"/>
            </w:pPr>
            <w:r/>
            <w:r>
              <w:rPr>
                <w:rFonts w:ascii="Verdana" w:hAnsi="Verdana"/>
                <w:b w:val="0"/>
                <w:sz w:val="16"/>
              </w:rPr>
              <w:t>0 08 024</w:t>
            </w:r>
          </w:p>
        </w:tc>
        <w:tc>
          <w:tcPr>
            <w:tcW w:type="dxa" w:w="1514"/>
          </w:tcPr>
          <w:p>
            <w:pPr>
              <w:spacing w:before="20" w:after="20"/>
            </w:pPr>
            <w:r/>
            <w:r>
              <w:rPr>
                <w:rFonts w:ascii="Verdana" w:hAnsi="Verdana"/>
                <w:b w:val="0"/>
                <w:sz w:val="16"/>
              </w:rPr>
              <w:t>Statistiques sur les différences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61: Le descripteur 0 19 007 indique une valeur manquante, sauf si la coupe horizontale décrite correspond à un cercle.</w:t>
            </w:r>
          </w:p>
        </w:tc>
      </w:tr>
      <w:tr>
        <w:trPr>
          <w:cantSplit/>
        </w:trPr>
        <w:tc>
          <w:tcPr>
            <w:tcW w:type="dxa" w:w="1514"/>
          </w:tcPr>
          <w:p>
            <w:pPr>
              <w:spacing w:before="20" w:after="20"/>
            </w:pPr>
            <w:r/>
            <w:r>
              <w:rPr>
                <w:rFonts w:ascii="Verdana" w:hAnsi="Verdana"/>
                <w:b w:val="0"/>
                <w:sz w:val="16"/>
              </w:rPr>
              <w:t>0 08 025</w:t>
            </w:r>
          </w:p>
        </w:tc>
        <w:tc>
          <w:tcPr>
            <w:tcW w:type="dxa" w:w="1514"/>
          </w:tcPr>
          <w:p>
            <w:pPr>
              <w:spacing w:before="20" w:after="20"/>
            </w:pPr>
            <w:r/>
            <w:r>
              <w:rPr>
                <w:rFonts w:ascii="Verdana" w:hAnsi="Verdana"/>
                <w:b w:val="0"/>
                <w:sz w:val="16"/>
              </w:rPr>
              <w:t>Décalage dans le temps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49: La majorité des stations ne disposent que d’une seule position sur la route et d’un seul capteur de température sous la surface. Des répétitions différées ont été introduites pour accroître la flexibilité et l’efficacité en termes de volume.</w:t>
            </w:r>
          </w:p>
        </w:tc>
      </w:tr>
      <w:tr>
        <w:trPr>
          <w:cantSplit/>
        </w:trPr>
        <w:tc>
          <w:tcPr>
            <w:tcW w:type="dxa" w:w="1514"/>
          </w:tcPr>
          <w:p>
            <w:pPr>
              <w:spacing w:before="20" w:after="20"/>
            </w:pPr>
            <w:r/>
            <w:r>
              <w:rPr>
                <w:rFonts w:ascii="Verdana" w:hAnsi="Verdana"/>
                <w:b w:val="0"/>
                <w:sz w:val="16"/>
              </w:rPr>
              <w:t>0 08 026</w:t>
            </w:r>
          </w:p>
        </w:tc>
        <w:tc>
          <w:tcPr>
            <w:tcW w:type="dxa" w:w="1514"/>
          </w:tcPr>
          <w:p>
            <w:pPr>
              <w:spacing w:before="20" w:after="20"/>
            </w:pPr>
            <w:r/>
            <w:r>
              <w:rPr>
                <w:rFonts w:ascii="Verdana" w:hAnsi="Verdana"/>
                <w:b w:val="0"/>
                <w:sz w:val="16"/>
              </w:rPr>
              <w:t>Caractéristique matricielle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0 08 029</w:t>
            </w:r>
          </w:p>
        </w:tc>
        <w:tc>
          <w:tcPr>
            <w:tcW w:type="dxa" w:w="1514"/>
          </w:tcPr>
          <w:p>
            <w:pPr>
              <w:spacing w:before="20" w:after="20"/>
            </w:pPr>
            <w:r/>
            <w:r>
              <w:rPr>
                <w:rFonts w:ascii="Verdana" w:hAnsi="Verdana"/>
                <w:b w:val="0"/>
                <w:sz w:val="16"/>
              </w:rPr>
              <w:t>Type de surface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0 08 030</w:t>
            </w:r>
          </w:p>
        </w:tc>
        <w:tc>
          <w:tcPr>
            <w:tcW w:type="dxa" w:w="1514"/>
          </w:tcPr>
          <w:p>
            <w:pPr>
              <w:spacing w:before="20" w:after="20"/>
            </w:pPr>
            <w:r/>
            <w:r>
              <w:rPr>
                <w:rFonts w:ascii="Verdana" w:hAnsi="Verdana"/>
                <w:b w:val="0"/>
                <w:sz w:val="16"/>
              </w:rPr>
              <w:t>Manuel des codes (Volume I.1, Section C), Table de code d'où sont tirées les données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0 08 031</w:t>
            </w:r>
          </w:p>
        </w:tc>
        <w:tc>
          <w:tcPr>
            <w:tcW w:type="dxa" w:w="1514"/>
          </w:tcPr>
          <w:p>
            <w:pPr>
              <w:spacing w:before="20" w:after="20"/>
            </w:pPr>
            <w:r/>
            <w:r>
              <w:rPr>
                <w:rFonts w:ascii="Verdana" w:hAnsi="Verdana"/>
                <w:b w:val="0"/>
                <w:sz w:val="16"/>
              </w:rPr>
              <w:t>Catégorie de données de la Table A du code CREX</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0 08 032</w:t>
            </w:r>
          </w:p>
        </w:tc>
        <w:tc>
          <w:tcPr>
            <w:tcW w:type="dxa" w:w="1514"/>
          </w:tcPr>
          <w:p>
            <w:pPr>
              <w:spacing w:before="20" w:after="20"/>
            </w:pPr>
            <w:r/>
            <w:r>
              <w:rPr>
                <w:rFonts w:ascii="Verdana" w:hAnsi="Verdana"/>
                <w:b w:val="0"/>
                <w:sz w:val="16"/>
              </w:rPr>
              <w:t>Mode de fonctionnement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0 08 033</w:t>
            </w:r>
          </w:p>
        </w:tc>
        <w:tc>
          <w:tcPr>
            <w:tcW w:type="dxa" w:w="1514"/>
          </w:tcPr>
          <w:p>
            <w:pPr>
              <w:spacing w:before="20" w:after="20"/>
            </w:pPr>
            <w:r/>
            <w:r>
              <w:rPr>
                <w:rFonts w:ascii="Verdana" w:hAnsi="Verdana"/>
                <w:b w:val="0"/>
                <w:sz w:val="16"/>
              </w:rPr>
              <w:t>Méthode de dérivation du pourcentage de confiance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50: Le descripteur 0 08 033 doit être utilisé avant l’élément 0 33 007 comme partie de l’information sur le contrôle de qualité afin de spécifier la méthode utilisée pour calculer le pourcentage de confiance.</w:t>
            </w:r>
          </w:p>
        </w:tc>
      </w:tr>
      <w:tr>
        <w:trPr>
          <w:cantSplit/>
        </w:trPr>
        <w:tc>
          <w:tcPr>
            <w:tcW w:type="dxa" w:w="1514"/>
          </w:tcPr>
          <w:p>
            <w:pPr>
              <w:spacing w:before="20" w:after="20"/>
            </w:pPr>
            <w:r/>
            <w:r>
              <w:rPr>
                <w:rFonts w:ascii="Verdana" w:hAnsi="Verdana"/>
                <w:b w:val="0"/>
                <w:sz w:val="16"/>
              </w:rPr>
              <w:t>0 08 034</w:t>
            </w:r>
          </w:p>
        </w:tc>
        <w:tc>
          <w:tcPr>
            <w:tcW w:type="dxa" w:w="1514"/>
          </w:tcPr>
          <w:p>
            <w:pPr>
              <w:spacing w:before="20" w:after="20"/>
            </w:pPr>
            <w:r/>
            <w:r>
              <w:rPr>
                <w:rFonts w:ascii="Verdana" w:hAnsi="Verdana"/>
                <w:b w:val="0"/>
                <w:sz w:val="16"/>
              </w:rPr>
              <w:t>Indicateur de la mesure de la température ou de la salinité</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0 08 035</w:t>
            </w:r>
          </w:p>
        </w:tc>
        <w:tc>
          <w:tcPr>
            <w:tcW w:type="dxa" w:w="1514"/>
          </w:tcPr>
          <w:p>
            <w:pPr>
              <w:spacing w:before="20" w:after="20"/>
            </w:pPr>
            <w:r/>
            <w:r>
              <w:rPr>
                <w:rFonts w:ascii="Verdana" w:hAnsi="Verdana"/>
                <w:b w:val="0"/>
                <w:sz w:val="16"/>
              </w:rPr>
              <w:t>Type d'exercice de contrôle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0 08 036</w:t>
            </w:r>
          </w:p>
        </w:tc>
        <w:tc>
          <w:tcPr>
            <w:tcW w:type="dxa" w:w="1514"/>
          </w:tcPr>
          <w:p>
            <w:pPr>
              <w:spacing w:before="20" w:after="20"/>
            </w:pPr>
            <w:r/>
            <w:r>
              <w:rPr>
                <w:rFonts w:ascii="Verdana" w:hAnsi="Verdana"/>
                <w:b w:val="0"/>
                <w:sz w:val="16"/>
              </w:rPr>
              <w:t>Type de centre ou de station effectuant le contrôle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0 08 037</w:t>
            </w:r>
          </w:p>
        </w:tc>
        <w:tc>
          <w:tcPr>
            <w:tcW w:type="dxa" w:w="1514"/>
          </w:tcPr>
          <w:p>
            <w:pPr>
              <w:spacing w:before="20" w:after="20"/>
            </w:pPr>
            <w:r/>
            <w:r>
              <w:rPr>
                <w:rFonts w:ascii="Verdana" w:hAnsi="Verdana"/>
                <w:b w:val="0"/>
                <w:sz w:val="16"/>
              </w:rPr>
              <w:t>Caractéristique du calage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0 08 038</w:t>
            </w:r>
          </w:p>
        </w:tc>
        <w:tc>
          <w:tcPr>
            <w:tcW w:type="dxa" w:w="1514"/>
          </w:tcPr>
          <w:p>
            <w:pPr>
              <w:spacing w:before="20" w:after="20"/>
            </w:pPr>
            <w:r/>
            <w:r>
              <w:rPr>
                <w:rFonts w:ascii="Verdana" w:hAnsi="Verdana"/>
                <w:b w:val="0"/>
                <w:sz w:val="16"/>
              </w:rPr>
              <w:t>Caractéristique des données instrumentales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0 08 039</w:t>
            </w:r>
          </w:p>
        </w:tc>
        <w:tc>
          <w:tcPr>
            <w:tcW w:type="dxa" w:w="1514"/>
          </w:tcPr>
          <w:p>
            <w:pPr>
              <w:spacing w:before="20" w:after="20"/>
            </w:pPr>
            <w:r/>
            <w:r>
              <w:rPr>
                <w:rFonts w:ascii="Verdana" w:hAnsi="Verdana"/>
                <w:b w:val="0"/>
                <w:sz w:val="16"/>
              </w:rPr>
              <w:t>Caractéristique temporelle (prévision aéronautique)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0 08 040</w:t>
            </w:r>
          </w:p>
        </w:tc>
        <w:tc>
          <w:tcPr>
            <w:tcW w:type="dxa" w:w="1514"/>
          </w:tcPr>
          <w:p>
            <w:pPr>
              <w:spacing w:before="20" w:after="20"/>
            </w:pPr>
            <w:r/>
            <w:r>
              <w:rPr>
                <w:rFonts w:ascii="Verdana" w:hAnsi="Verdana"/>
                <w:b w:val="0"/>
                <w:sz w:val="16"/>
              </w:rPr>
              <w:t>Caractéristique du niveau de vol</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0 08 041</w:t>
            </w:r>
          </w:p>
        </w:tc>
        <w:tc>
          <w:tcPr>
            <w:tcW w:type="dxa" w:w="1514"/>
          </w:tcPr>
          <w:p>
            <w:pPr>
              <w:spacing w:before="20" w:after="20"/>
            </w:pPr>
            <w:r/>
            <w:r>
              <w:rPr>
                <w:rFonts w:ascii="Verdana" w:hAnsi="Verdana"/>
                <w:b w:val="0"/>
                <w:sz w:val="16"/>
              </w:rPr>
              <w:t>Caractéristique des données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0 08 042</w:t>
            </w:r>
          </w:p>
        </w:tc>
        <w:tc>
          <w:tcPr>
            <w:tcW w:type="dxa" w:w="1514"/>
          </w:tcPr>
          <w:p>
            <w:pPr>
              <w:spacing w:before="20" w:after="20"/>
            </w:pPr>
            <w:r/>
            <w:r>
              <w:rPr>
                <w:rFonts w:ascii="Verdana" w:hAnsi="Verdana"/>
                <w:b w:val="0"/>
                <w:sz w:val="16"/>
              </w:rPr>
              <w:t>Caractéristique étendue correspondant à des données de sondage vertical</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0 08 043</w:t>
            </w:r>
          </w:p>
        </w:tc>
        <w:tc>
          <w:tcPr>
            <w:tcW w:type="dxa" w:w="1514"/>
          </w:tcPr>
          <w:p>
            <w:pPr>
              <w:spacing w:before="20" w:after="20"/>
            </w:pPr>
            <w:r/>
            <w:r>
              <w:rPr>
                <w:rFonts w:ascii="Verdana" w:hAnsi="Verdana"/>
                <w:b w:val="0"/>
                <w:sz w:val="16"/>
              </w:rPr>
              <w:t>Type de constituants chimiques ou physiques de l'atmosphère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169: Lorsque le descripteur 0 08 043 est utilisé pour désigner une matière particulaire d’une taille inférieure à un seuil de taille donné, le descripteur 0 08 045 peut aussi être utilisé pour désigner plus précisément un sous-ensemble de la population de particules à partir de la composition des ions.</w:t>
            </w:r>
          </w:p>
        </w:tc>
      </w:tr>
      <w:tr>
        <w:trPr>
          <w:cantSplit/>
        </w:trPr>
        <w:tc>
          <w:tcPr>
            <w:tcW w:type="dxa" w:w="1514"/>
          </w:tcPr>
          <w:p>
            <w:pPr>
              <w:spacing w:before="20" w:after="20"/>
            </w:pPr>
            <w:r/>
            <w:r>
              <w:rPr>
                <w:rFonts w:ascii="Verdana" w:hAnsi="Verdana"/>
                <w:b w:val="0"/>
                <w:sz w:val="16"/>
              </w:rPr>
              <w:t>0 08 044</w:t>
            </w:r>
          </w:p>
        </w:tc>
        <w:tc>
          <w:tcPr>
            <w:tcW w:type="dxa" w:w="1514"/>
          </w:tcPr>
          <w:p>
            <w:pPr>
              <w:spacing w:before="20" w:after="20"/>
            </w:pPr>
            <w:r/>
            <w:r>
              <w:rPr>
                <w:rFonts w:ascii="Verdana" w:hAnsi="Verdana"/>
                <w:b w:val="0"/>
                <w:sz w:val="16"/>
              </w:rPr>
              <w:t>Numéro d'enregistrement CAS</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88</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0 08 046</w:t>
            </w:r>
          </w:p>
        </w:tc>
        <w:tc>
          <w:tcPr>
            <w:tcW w:type="dxa" w:w="1514"/>
          </w:tcPr>
          <w:p>
            <w:pPr>
              <w:spacing w:before="20" w:after="20"/>
            </w:pPr>
            <w:r/>
            <w:r>
              <w:rPr>
                <w:rFonts w:ascii="Verdana" w:hAnsi="Verdana"/>
                <w:b w:val="0"/>
                <w:sz w:val="16"/>
              </w:rPr>
              <w:t>Type de constituants chimiques ou physiques de l'atmosphère</w:t>
            </w:r>
          </w:p>
        </w:tc>
        <w:tc>
          <w:tcPr>
            <w:tcW w:type="dxa" w:w="1514"/>
          </w:tcPr>
          <w:p>
            <w:pPr>
              <w:spacing w:before="20" w:after="20"/>
            </w:pPr>
            <w:r/>
            <w:r>
              <w:rPr>
                <w:rFonts w:ascii="Verdana" w:hAnsi="Verdana"/>
                <w:sz w:val="16"/>
              </w:rPr>
              <w:t>Table de code commune C-14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Table de code commune C-14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0 08 049</w:t>
            </w:r>
          </w:p>
        </w:tc>
        <w:tc>
          <w:tcPr>
            <w:tcW w:type="dxa" w:w="1514"/>
          </w:tcPr>
          <w:p>
            <w:pPr>
              <w:spacing w:before="20" w:after="20"/>
            </w:pPr>
            <w:r/>
            <w:r>
              <w:rPr>
                <w:rFonts w:ascii="Verdana" w:hAnsi="Verdana"/>
                <w:b w:val="0"/>
                <w:sz w:val="16"/>
              </w:rPr>
              <w:t>Nombre d'observations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0 08 050</w:t>
            </w:r>
          </w:p>
        </w:tc>
        <w:tc>
          <w:tcPr>
            <w:tcW w:type="dxa" w:w="1514"/>
          </w:tcPr>
          <w:p>
            <w:pPr>
              <w:spacing w:before="20" w:after="20"/>
            </w:pPr>
            <w:r/>
            <w:r>
              <w:rPr>
                <w:rFonts w:ascii="Verdana" w:hAnsi="Verdana"/>
                <w:b w:val="0"/>
                <w:sz w:val="16"/>
              </w:rPr>
              <w:t>Identificateur pour le nombre de valeurs manquantes dans le calcul des statistiques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0 08 051</w:t>
            </w:r>
          </w:p>
        </w:tc>
        <w:tc>
          <w:tcPr>
            <w:tcW w:type="dxa" w:w="1514"/>
          </w:tcPr>
          <w:p>
            <w:pPr>
              <w:spacing w:before="20" w:after="20"/>
            </w:pPr>
            <w:r/>
            <w:r>
              <w:rPr>
                <w:rFonts w:ascii="Verdana" w:hAnsi="Verdana"/>
                <w:b w:val="0"/>
                <w:sz w:val="16"/>
              </w:rPr>
              <w:t>Identificateur pour le nombre de valeurs manquantes dans le calcul des statistiques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0 08 052</w:t>
            </w:r>
          </w:p>
        </w:tc>
        <w:tc>
          <w:tcPr>
            <w:tcW w:type="dxa" w:w="1514"/>
          </w:tcPr>
          <w:p>
            <w:pPr>
              <w:spacing w:before="20" w:after="20"/>
            </w:pPr>
            <w:r/>
            <w:r>
              <w:rPr>
                <w:rFonts w:ascii="Verdana" w:hAnsi="Verdana"/>
                <w:b w:val="0"/>
                <w:sz w:val="16"/>
              </w:rPr>
              <w:t>Condition pour laquelle le nombre de jours d'occurrence est indiqué</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0 08 053</w:t>
            </w:r>
          </w:p>
        </w:tc>
        <w:tc>
          <w:tcPr>
            <w:tcW w:type="dxa" w:w="1514"/>
          </w:tcPr>
          <w:p>
            <w:pPr>
              <w:spacing w:before="20" w:after="20"/>
            </w:pPr>
            <w:r/>
            <w:r>
              <w:rPr>
                <w:rFonts w:ascii="Verdana" w:hAnsi="Verdana"/>
                <w:b w:val="0"/>
                <w:sz w:val="16"/>
              </w:rPr>
              <w:t>Identificateur du jour d'occurrence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0 08 054</w:t>
            </w:r>
          </w:p>
        </w:tc>
        <w:tc>
          <w:tcPr>
            <w:tcW w:type="dxa" w:w="1514"/>
          </w:tcPr>
          <w:p>
            <w:pPr>
              <w:spacing w:before="20" w:after="20"/>
            </w:pPr>
            <w:r/>
            <w:r>
              <w:rPr>
                <w:rFonts w:ascii="Verdana" w:hAnsi="Verdana"/>
                <w:b w:val="0"/>
                <w:sz w:val="16"/>
              </w:rPr>
              <w:t>Identificateur de la vitesse du vent ou des rafales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0 08 060</w:t>
            </w:r>
          </w:p>
        </w:tc>
        <w:tc>
          <w:tcPr>
            <w:tcW w:type="dxa" w:w="1514"/>
          </w:tcPr>
          <w:p>
            <w:pPr>
              <w:spacing w:before="20" w:after="20"/>
            </w:pPr>
            <w:r/>
            <w:r>
              <w:rPr>
                <w:rFonts w:ascii="Verdana" w:hAnsi="Verdana"/>
                <w:b w:val="0"/>
                <w:sz w:val="16"/>
              </w:rPr>
              <w:t>Signification du mode de balayage de l'échantillon</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0 08 065</w:t>
            </w:r>
          </w:p>
        </w:tc>
        <w:tc>
          <w:tcPr>
            <w:tcW w:type="dxa" w:w="1514"/>
          </w:tcPr>
          <w:p>
            <w:pPr>
              <w:spacing w:before="20" w:after="20"/>
            </w:pPr>
            <w:r/>
            <w:r>
              <w:rPr>
                <w:rFonts w:ascii="Verdana" w:hAnsi="Verdana"/>
                <w:b w:val="0"/>
                <w:sz w:val="16"/>
              </w:rPr>
              <w:t>Indicateur de reflet solaire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0 08 066</w:t>
            </w:r>
          </w:p>
        </w:tc>
        <w:tc>
          <w:tcPr>
            <w:tcW w:type="dxa" w:w="1514"/>
          </w:tcPr>
          <w:p>
            <w:pPr>
              <w:spacing w:before="20" w:after="20"/>
            </w:pPr>
            <w:r/>
            <w:r>
              <w:rPr>
                <w:rFonts w:ascii="Verdana" w:hAnsi="Verdana"/>
                <w:b w:val="0"/>
                <w:sz w:val="16"/>
              </w:rPr>
              <w:t>Indicateur de semi-transparence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0 08 070</w:t>
            </w:r>
          </w:p>
        </w:tc>
        <w:tc>
          <w:tcPr>
            <w:tcW w:type="dxa" w:w="1514"/>
          </w:tcPr>
          <w:p>
            <w:pPr>
              <w:spacing w:before="20" w:after="20"/>
            </w:pPr>
            <w:r/>
            <w:r>
              <w:rPr>
                <w:rFonts w:ascii="Verdana" w:hAnsi="Verdana"/>
                <w:b w:val="0"/>
                <w:sz w:val="16"/>
              </w:rPr>
              <w:t>Identificateur de produits de sondages verticaux</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0 08 072</w:t>
            </w:r>
          </w:p>
        </w:tc>
        <w:tc>
          <w:tcPr>
            <w:tcW w:type="dxa" w:w="1514"/>
          </w:tcPr>
          <w:p>
            <w:pPr>
              <w:spacing w:before="20" w:after="20"/>
            </w:pPr>
            <w:r/>
            <w:r>
              <w:rPr>
                <w:rFonts w:ascii="Verdana" w:hAnsi="Verdana"/>
                <w:b w:val="0"/>
                <w:sz w:val="16"/>
              </w:rPr>
              <w:t>Type de pixel</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0 08 074</w:t>
            </w:r>
          </w:p>
        </w:tc>
        <w:tc>
          <w:tcPr>
            <w:tcW w:type="dxa" w:w="1514"/>
          </w:tcPr>
          <w:p>
            <w:pPr>
              <w:spacing w:before="20" w:after="20"/>
            </w:pPr>
            <w:r/>
            <w:r>
              <w:rPr>
                <w:rFonts w:ascii="Verdana" w:hAnsi="Verdana"/>
                <w:b w:val="0"/>
                <w:sz w:val="16"/>
              </w:rPr>
              <w:t>Type d'écho de l'altimètre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0 08 075</w:t>
            </w:r>
          </w:p>
        </w:tc>
        <w:tc>
          <w:tcPr>
            <w:tcW w:type="dxa" w:w="1514"/>
          </w:tcPr>
          <w:p>
            <w:pPr>
              <w:spacing w:before="20" w:after="20"/>
            </w:pPr>
            <w:r/>
            <w:r>
              <w:rPr>
                <w:rFonts w:ascii="Verdana" w:hAnsi="Verdana"/>
                <w:b w:val="0"/>
                <w:sz w:val="16"/>
              </w:rPr>
              <w:t>Identificateur d'orbite ascendante ou descendante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0 08 076</w:t>
            </w:r>
          </w:p>
        </w:tc>
        <w:tc>
          <w:tcPr>
            <w:tcW w:type="dxa" w:w="1514"/>
          </w:tcPr>
          <w:p>
            <w:pPr>
              <w:spacing w:before="20" w:after="20"/>
            </w:pPr>
            <w:r/>
            <w:r>
              <w:rPr>
                <w:rFonts w:ascii="Verdana" w:hAnsi="Verdana"/>
                <w:b w:val="0"/>
                <w:sz w:val="16"/>
              </w:rPr>
              <w:t>Type de bande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0 08 077</w:t>
            </w:r>
          </w:p>
        </w:tc>
        <w:tc>
          <w:tcPr>
            <w:tcW w:type="dxa" w:w="1514"/>
          </w:tcPr>
          <w:p>
            <w:pPr>
              <w:spacing w:before="20" w:after="20"/>
            </w:pPr>
            <w:r/>
            <w:r>
              <w:rPr>
                <w:rFonts w:ascii="Verdana" w:hAnsi="Verdana"/>
                <w:b w:val="0"/>
                <w:sz w:val="16"/>
              </w:rPr>
              <w:t>Type de surface détecté par radiomètre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0 08 079</w:t>
            </w:r>
          </w:p>
        </w:tc>
        <w:tc>
          <w:tcPr>
            <w:tcW w:type="dxa" w:w="1514"/>
          </w:tcPr>
          <w:p>
            <w:pPr>
              <w:spacing w:before="20" w:after="20"/>
            </w:pPr>
            <w:r/>
            <w:r>
              <w:rPr>
                <w:rFonts w:ascii="Verdana" w:hAnsi="Verdana"/>
                <w:b w:val="0"/>
                <w:sz w:val="16"/>
              </w:rPr>
              <w:t>Catégorie de produit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0 08 080</w:t>
            </w:r>
          </w:p>
        </w:tc>
        <w:tc>
          <w:tcPr>
            <w:tcW w:type="dxa" w:w="1514"/>
          </w:tcPr>
          <w:p>
            <w:pPr>
              <w:spacing w:before="20" w:after="20"/>
            </w:pPr>
            <w:r/>
            <w:r>
              <w:rPr>
                <w:rFonts w:ascii="Verdana" w:hAnsi="Verdana"/>
                <w:b w:val="0"/>
                <w:sz w:val="16"/>
              </w:rPr>
              <w:t>Identificateur de l'indicateur de qualité pour le GTSPP</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0 08 081</w:t>
            </w:r>
          </w:p>
        </w:tc>
        <w:tc>
          <w:tcPr>
            <w:tcW w:type="dxa" w:w="1514"/>
          </w:tcPr>
          <w:p>
            <w:pPr>
              <w:spacing w:before="20" w:after="20"/>
            </w:pPr>
            <w:r/>
            <w:r>
              <w:rPr>
                <w:rFonts w:ascii="Verdana" w:hAnsi="Verdana"/>
                <w:b w:val="0"/>
                <w:sz w:val="16"/>
              </w:rPr>
              <w:t>Type d'équipement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0 08 082</w:t>
            </w:r>
          </w:p>
        </w:tc>
        <w:tc>
          <w:tcPr>
            <w:tcW w:type="dxa" w:w="1514"/>
          </w:tcPr>
          <w:p>
            <w:pPr>
              <w:spacing w:before="20" w:after="20"/>
            </w:pPr>
            <w:r/>
            <w:r>
              <w:rPr>
                <w:rFonts w:ascii="Verdana" w:hAnsi="Verdana"/>
                <w:b w:val="0"/>
                <w:sz w:val="16"/>
              </w:rPr>
              <w:t>Correction de la hauteur du capteur</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0 08 083</w:t>
            </w:r>
          </w:p>
        </w:tc>
        <w:tc>
          <w:tcPr>
            <w:tcW w:type="dxa" w:w="1514"/>
          </w:tcPr>
          <w:p>
            <w:pPr>
              <w:spacing w:before="20" w:after="20"/>
            </w:pPr>
            <w:r/>
            <w:r>
              <w:rPr>
                <w:rFonts w:ascii="Verdana" w:hAnsi="Verdana"/>
                <w:b w:val="0"/>
                <w:sz w:val="16"/>
              </w:rPr>
              <w:t>Indicateur de valeur nominale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0 08 085</w:t>
            </w:r>
          </w:p>
        </w:tc>
        <w:tc>
          <w:tcPr>
            <w:tcW w:type="dxa" w:w="1514"/>
          </w:tcPr>
          <w:p>
            <w:pPr>
              <w:spacing w:before="20" w:after="20"/>
            </w:pPr>
            <w:r/>
            <w:r>
              <w:rPr>
                <w:rFonts w:ascii="Verdana" w:hAnsi="Verdana"/>
                <w:b w:val="0"/>
                <w:sz w:val="16"/>
              </w:rPr>
              <w:t>Identification du faisceau</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0 08 086</w:t>
            </w:r>
          </w:p>
        </w:tc>
        <w:tc>
          <w:tcPr>
            <w:tcW w:type="dxa" w:w="1514"/>
          </w:tcPr>
          <w:p>
            <w:pPr>
              <w:spacing w:before="20" w:after="20"/>
            </w:pPr>
            <w:r/>
            <w:r>
              <w:rPr>
                <w:rFonts w:ascii="Verdana" w:hAnsi="Verdana"/>
                <w:b w:val="0"/>
                <w:sz w:val="16"/>
              </w:rPr>
              <w:t>Caractéristique verticale pour la prévision numérique du temps</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0 08 087</w:t>
            </w:r>
          </w:p>
        </w:tc>
        <w:tc>
          <w:tcPr>
            <w:tcW w:type="dxa" w:w="1514"/>
          </w:tcPr>
          <w:p>
            <w:pPr>
              <w:spacing w:before="20" w:after="20"/>
            </w:pPr>
            <w:r/>
            <w:r>
              <w:rPr>
                <w:rFonts w:ascii="Verdana" w:hAnsi="Verdana"/>
                <w:b w:val="0"/>
                <w:sz w:val="16"/>
              </w:rPr>
              <w:t>Position des coins déterminant la colonne observée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0 08 088</w:t>
            </w:r>
          </w:p>
        </w:tc>
        <w:tc>
          <w:tcPr>
            <w:tcW w:type="dxa" w:w="1514"/>
          </w:tcPr>
          <w:p>
            <w:pPr>
              <w:spacing w:before="20" w:after="20"/>
            </w:pPr>
            <w:r/>
            <w:r>
              <w:rPr>
                <w:rFonts w:ascii="Verdana" w:hAnsi="Verdana"/>
                <w:b w:val="0"/>
                <w:sz w:val="16"/>
              </w:rPr>
              <w:t>Caractéristiques cartographiques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0 08 090</w:t>
            </w:r>
          </w:p>
        </w:tc>
        <w:tc>
          <w:tcPr>
            <w:tcW w:type="dxa" w:w="1514"/>
          </w:tcPr>
          <w:p>
            <w:pPr>
              <w:spacing w:before="20" w:after="20"/>
            </w:pPr>
            <w:r/>
            <w:r>
              <w:rPr>
                <w:rFonts w:ascii="Verdana" w:hAnsi="Verdana"/>
                <w:b w:val="0"/>
                <w:sz w:val="16"/>
              </w:rPr>
              <w:t>Échelle décimale des mantisses suivantes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-127</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51: Il y a lieu d’indiquer, s’il est connu, le nombre d’années manquantes dans la période de référence utilisée pour le calcul des normales de la température maximale et de la température minimale, en plus du nombre d’années manquantes pour les températures extrêmes de l’air indiqué par 0 08 020 précédé par 0 08 050 dont le chiffre de code 3 est utilisé.</w:t>
            </w:r>
          </w:p>
        </w:tc>
      </w:tr>
      <w:tr>
        <w:trPr>
          <w:cantSplit/>
        </w:trPr>
        <w:tc>
          <w:tcPr>
            <w:tcW w:type="dxa" w:w="1514"/>
          </w:tcPr>
          <w:p>
            <w:pPr>
              <w:spacing w:before="20" w:after="20"/>
            </w:pPr>
            <w:r/>
            <w:r>
              <w:rPr>
                <w:rFonts w:ascii="Verdana" w:hAnsi="Verdana"/>
                <w:b w:val="0"/>
                <w:sz w:val="16"/>
              </w:rPr>
              <w:t>0 08 091</w:t>
            </w:r>
          </w:p>
        </w:tc>
        <w:tc>
          <w:tcPr>
            <w:tcW w:type="dxa" w:w="1514"/>
          </w:tcPr>
          <w:p>
            <w:pPr>
              <w:spacing w:before="20" w:after="20"/>
            </w:pPr>
            <w:r/>
            <w:r>
              <w:rPr>
                <w:rFonts w:ascii="Verdana" w:hAnsi="Verdana"/>
                <w:b w:val="0"/>
                <w:sz w:val="16"/>
              </w:rPr>
              <w:t>Caractéristique des coordonnées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0 08 092</w:t>
            </w:r>
          </w:p>
        </w:tc>
        <w:tc>
          <w:tcPr>
            <w:tcW w:type="dxa" w:w="1514"/>
          </w:tcPr>
          <w:p>
            <w:pPr>
              <w:spacing w:before="20" w:after="20"/>
            </w:pPr>
            <w:r/>
            <w:r>
              <w:rPr>
                <w:rFonts w:ascii="Verdana" w:hAnsi="Verdana"/>
                <w:b w:val="0"/>
                <w:sz w:val="16"/>
              </w:rPr>
              <w:t>Expression de l'incertitude de mesure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0 08 093</w:t>
            </w:r>
          </w:p>
        </w:tc>
        <w:tc>
          <w:tcPr>
            <w:tcW w:type="dxa" w:w="1514"/>
          </w:tcPr>
          <w:p>
            <w:pPr>
              <w:spacing w:before="20" w:after="20"/>
            </w:pPr>
            <w:r/>
            <w:r>
              <w:rPr>
                <w:rFonts w:ascii="Verdana" w:hAnsi="Verdana"/>
                <w:b w:val="0"/>
                <w:sz w:val="16"/>
              </w:rPr>
              <w:t>Caractéristique de l'incertitude de mesure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bl>
    <w:p/>
    <w:p>
      <w:r>
        <w:rPr>
          <w:rFonts w:ascii="Verdana" w:hAnsi="Verdana"/>
          <w:i/>
          <w:sz w:val="14"/>
        </w:rPr>
        <w:t>Note 23: Une valeur de précipitation de –0,1 kg m –2 avant la mise à l’échelle (–1 après la mise à l’échelle ou en CREX) indique qu’il y a «trace» de précipitations (non mesurable, moins de 0,05 kg m –2 )</w:t>
      </w:r>
    </w:p>
    <w:p>
      <w:r>
        <w:rPr>
          <w:rFonts w:ascii="Verdana" w:hAnsi="Verdana"/>
          <w:i/>
          <w:sz w:val="14"/>
        </w:rPr>
        <w:t>Note 25: Il est possible d’annuler une signification précédemment définie en transmettant une «valeur manquante» à partir de la table de code ou de la table d’indicateurs appropriée.</w:t>
      </w:r>
    </w:p>
    <w:p>
      <w:r>
        <w:rPr>
          <w:rFonts w:ascii="Verdana" w:hAnsi="Verdana"/>
          <w:i/>
          <w:sz w:val="14"/>
        </w:rPr>
        <w:t>Note 27: Sauf indication contraire, tous les temps sont des temps universels coordonnés (UTC).</w:t>
      </w:r>
    </w:p>
    <w:p>
      <w:r>
        <w:rPr>
          <w:rFonts w:ascii="Verdana" w:hAnsi="Verdana"/>
          <w:i/>
          <w:sz w:val="14"/>
        </w:rPr>
        <w:t>Note 32: La direction ou l’azimut ne sont utilisés que par rapport à une position donnée; ils n’ont pas pour objet de définir à nouveau cette position.</w:t>
      </w:r>
    </w:p>
    <w:p>
      <w:r>
        <w:rPr>
          <w:rFonts w:ascii="Verdana" w:hAnsi="Verdana"/>
          <w:i/>
          <w:sz w:val="14"/>
        </w:rPr>
        <w:t>Note 62: La distance n’est indiquée que par rapport à une position donnée et une direction, un azimut ou une hauteur angulaire; elle n’a pas pour objet de définir à nouveau cette position.</w:t>
      </w:r>
    </w:p>
    <w:p>
      <w:r>
        <w:rPr>
          <w:rFonts w:ascii="Verdana" w:hAnsi="Verdana"/>
          <w:i/>
          <w:sz w:val="14"/>
        </w:rPr>
        <w:t>Note 63: Le rayonnement descendant est indiqué par des valeurs positives.</w:t>
      </w:r>
    </w:p>
    <w:p>
      <w:r>
        <w:rPr>
          <w:rFonts w:ascii="Verdana" w:hAnsi="Verdana"/>
          <w:i/>
          <w:sz w:val="14"/>
        </w:rPr>
        <w:t>Note 64: Les composantes w descendantes sont indiquées par des valeurs positives, pour lesquelles l’unité est le Pa s –1 .</w:t>
      </w:r>
    </w:p>
    <w:p>
      <w:r>
        <w:rPr>
          <w:rFonts w:ascii="Verdana" w:hAnsi="Verdana"/>
          <w:i/>
          <w:sz w:val="14"/>
        </w:rPr>
        <w:t>Note 66: Les incréments dans le sens est-ouest sont indiqués par des valeurs négatives.</w:t>
      </w:r>
    </w:p>
    <w:p>
      <w:r>
        <w:rPr>
          <w:rFonts w:ascii="Verdana" w:hAnsi="Verdana"/>
          <w:i/>
          <w:sz w:val="14"/>
        </w:rPr>
        <w:t>Note 92: Afin qu’il soit possible de distinguer sans ambiguïté les cas de valeurs manquantes et de pixels saturés, les données d’image de n bits doivent être codées à l’aide d’un champs de données de n+1. Lorsqu’un tel descripteur n’est pas déjà disponible dans la classe 30, on utilise un descripteur d’opération 2 01 YYY pour modifier le champ de données de l’entrée existante, selon les besoins.</w:t>
      </w:r>
    </w:p>
    <w:p>
      <w:r>
        <w:rPr>
          <w:rFonts w:ascii="Verdana" w:hAnsi="Verdana"/>
          <w:i/>
          <w:sz w:val="14"/>
        </w:rPr>
        <w:t>Note 105: Les périodes ou les décalages dans le temps négatifs sont utilisés pour indiquer les périodes ou les décalages dans le temps précédant le temps généralement défini.</w:t>
      </w:r>
    </w:p>
    <w:p>
      <w:r>
        <w:rPr>
          <w:rFonts w:ascii="Verdana" w:hAnsi="Verdana"/>
          <w:i/>
          <w:sz w:val="14"/>
        </w:rPr>
        <w:t>Note 110: Les incréments dans le sens nord–sud sont indiqués par des valeurs négatives.</w:t>
      </w:r>
    </w:p>
    <w:p>
      <w:r>
        <w:rPr>
          <w:rFonts w:ascii="Verdana" w:hAnsi="Verdana"/>
          <w:i/>
          <w:sz w:val="14"/>
        </w:rPr>
        <w:t>Note 115: Le champ de données des pixels peut être modifié au moyen du descripteur 2 01 YYY.</w:t>
      </w:r>
    </w:p>
    <w:p>
      <w:r>
        <w:rPr>
          <w:rFonts w:ascii="Verdana" w:hAnsi="Verdana"/>
          <w:i/>
          <w:sz w:val="14"/>
        </w:rPr>
        <w:t>Note 121: Pour certains éléments de cette classe, une indication de la précision escomptée peut être implicite.</w:t>
      </w:r>
    </w:p>
    <w:p>
      <w:r>
        <w:rPr>
          <w:rFonts w:ascii="Verdana" w:hAnsi="Verdana"/>
          <w:i/>
          <w:sz w:val="14"/>
        </w:rPr>
        <w:t>Note 122: On attribue aux latitudes sud des valeurs négatives.</w:t>
      </w:r>
    </w:p>
    <w:p>
      <w:r>
        <w:rPr>
          <w:rFonts w:ascii="Verdana" w:hAnsi="Verdana"/>
          <w:i/>
          <w:sz w:val="14"/>
        </w:rPr>
        <w:t>Note 123: Les composantes v dans le sens sud–nord sont indiquées par des valeurs positives.</w:t>
      </w:r>
    </w:p>
    <w:p>
      <w:r>
        <w:rPr>
          <w:rFonts w:ascii="Verdana" w:hAnsi="Verdana"/>
          <w:i/>
          <w:sz w:val="14"/>
        </w:rPr>
        <w:t>Note 126: Les stations situées à moins de 1° du pôle Nord ou du pôle Sud chiffrent leurs observations de la direction du vent de surface avec le limbe d’azimut orienté de sorte que son zéro coïncide avec le méridien de Greenwich.</w:t>
      </w:r>
    </w:p>
    <w:p>
      <w:r>
        <w:rPr>
          <w:rFonts w:ascii="Verdana" w:hAnsi="Verdana"/>
          <w:i/>
          <w:sz w:val="14"/>
        </w:rPr>
        <w:t>Note 145: Pour indiquer à quoi se rapportent les périodes ou les décalages dans le temps, on peut se servir du code donné pour la caractéristique temporelle dans la table 0 08 021.</w:t>
      </w:r>
    </w:p>
    <w:p>
      <w:r>
        <w:rPr>
          <w:rFonts w:ascii="Verdana" w:hAnsi="Verdana"/>
          <w:i/>
          <w:sz w:val="14"/>
        </w:rPr>
        <w:t>Note 149: Lorsque la situation dans le temps correspond à des valeurs de prévision, elle indique le temps de l'état initial ou le début de la période de prévision; si elle correspond à des moyennes d'ensemble de valeurs de prévisions, elle indique l'état initial ou le début de la première prévision d'où les moyennes d'ensemble sont dérivées.</w:t>
      </w:r>
    </w:p>
    <w:p>
      <w:r>
        <w:rPr>
          <w:rFonts w:ascii="Verdana" w:hAnsi="Verdana"/>
          <w:i/>
          <w:sz w:val="14"/>
        </w:rPr>
        <w:t>Note 155: Cette classe peut aussi contenir des éléments concernant les méthodes d’observation.</w:t>
      </w:r>
    </w:p>
    <w:p>
      <w:r>
        <w:rPr>
          <w:rFonts w:ascii="Verdana" w:hAnsi="Verdana"/>
          <w:i/>
          <w:sz w:val="14"/>
        </w:rPr>
        <w:t>Note 156: La présente classe doit contenir des éléments décrivant les instruments utilisés pour obtenir les éléments météorologiques représentés.</w:t>
      </w:r>
    </w:p>
    <w:p>
      <w:r>
        <w:rPr>
          <w:rFonts w:ascii="Verdana" w:hAnsi="Verdana"/>
          <w:i/>
          <w:sz w:val="14"/>
        </w:rPr>
        <w:t>Note 158: Pour les périodes ou les décalages dans le temps et pour les incréments temporels, il faut préalablement une définition de l'origine de la position dans le temps, suivie, le cas échéant, d'une définition de l'élément qualificatif temporel.</w:t>
      </w:r>
    </w:p>
    <w:p>
      <w:r>
        <w:rPr>
          <w:rFonts w:ascii="Verdana" w:hAnsi="Verdana"/>
          <w:i/>
          <w:sz w:val="14"/>
        </w:rPr>
        <w:t>Note 160: Le rayonnement ascendant est indiqué par des valeurs négatives.</w:t>
      </w:r>
    </w:p>
    <w:p>
      <w:r>
        <w:rPr>
          <w:rFonts w:ascii="Verdana" w:hAnsi="Verdana"/>
          <w:i/>
          <w:sz w:val="14"/>
        </w:rPr>
        <w:t>Note 161: Les composantes w ascendantes sont indiquées par des valeurs positives, pour lesquelles l’unité est le m s –1 .</w:t>
      </w:r>
    </w:p>
    <w:p>
      <w:r>
        <w:rPr>
          <w:rFonts w:ascii="Verdana" w:hAnsi="Verdana"/>
          <w:i/>
          <w:sz w:val="14"/>
        </w:rPr>
        <w:t>Note 162: Intervalles utiles utilisés ci-dessus: 10 11 Bq à 10 19 Bq pour les rejets; 10 –2 Bq à 10 7 Bq et 10 –2 mSv à 10 7 mSv pour la concentration et les doses.</w:t>
      </w:r>
    </w:p>
    <w:p>
      <w:r>
        <w:rPr>
          <w:rFonts w:ascii="Verdana" w:hAnsi="Verdana"/>
          <w:i/>
          <w:sz w:val="14"/>
        </w:rPr>
        <w:t>Note 163: Les valeurs de la latitude et de l’incrément de latitude se situent dans les limites de la plage allant de –90 degrés à +90 degrés.</w:t>
      </w:r>
    </w:p>
    <w:p>
      <w:r>
        <w:rPr>
          <w:rFonts w:ascii="Verdana" w:hAnsi="Verdana"/>
          <w:i/>
          <w:sz w:val="14"/>
        </w:rPr>
        <w:t>Note 164: Les valeurs de longitude se situent dans les limites de la plage allant de –180 degrés à +180 degrés.</w:t>
      </w:r>
    </w:p>
    <w:p>
      <w:r>
        <w:rPr>
          <w:rFonts w:ascii="Verdana" w:hAnsi="Verdana"/>
          <w:i/>
          <w:sz w:val="14"/>
        </w:rPr>
        <w:t>Note 165: Des données correspondant à des éléments verticaux et à la pression sont utilisées pour définir des valeurs de ces éléments indépendantes de l’élément ou de la variable déterminant la coordonnée verticale.</w:t>
      </w:r>
    </w:p>
    <w:p>
      <w:r>
        <w:rPr>
          <w:rFonts w:ascii="Verdana" w:hAnsi="Verdana"/>
          <w:i/>
          <w:sz w:val="14"/>
        </w:rPr>
        <w:t>Note 166: On attribue aux longitudes ouest des valeurs négatives.</w:t>
      </w:r>
    </w:p>
    <w:p>
      <w:r>
        <w:rPr>
          <w:rFonts w:ascii="Verdana" w:hAnsi="Verdana"/>
          <w:i/>
          <w:sz w:val="14"/>
        </w:rPr>
        <w:t>Note 167: Les composantes u dans le sens ouest–est sont indiquées par des valeurs positives.</w:t>
      </w:r>
    </w:p>
    <w:p>
      <w:r>
        <w:rPr>
          <w:rFonts w:ascii="Verdana" w:hAnsi="Verdana"/>
          <w:i/>
          <w:sz w:val="14"/>
        </w:rPr>
        <w:t>Note 176: Lorsqu'il faut plus d'une période ou d'un décalage dans le temps pour définir des indications temporelles complexes, les définitions se succèdent immédiatement, dans l'ordre suivant: période d'ensemble (le cas échéant); période de prévision (le cas échéant); période correspondant à une moyenne ou une accumulation (le cas échéant).</w:t>
      </w:r>
    </w:p>
    <w:p>
      <w:r>
        <w:rPr>
          <w:rFonts w:ascii="Verdana" w:hAnsi="Verdana"/>
          <w:i/>
          <w:sz w:val="14"/>
        </w:rPr>
        <w:t>Note 178: Lorsque la colonne Nom de l’élément porte la mention «sur une période déterminée», on précise, à l’aide de descripteurs de la classe 04, la période considérée.</w:t>
      </w:r>
    </w:p>
    <w:p>
      <w:r>
        <w:rPr>
          <w:rFonts w:ascii="Verdana" w:hAnsi="Verdana"/>
          <w:i/>
          <w:sz w:val="14"/>
        </w:rPr>
        <w:t>Note 179: Lorsqu’on établit une somme ou une moyenne (par exemple sur une certaine période), on peut représenter le nombre total de valeurs prises en considération pour obtenir cette somme ou cette moyenne en utilisant le descripteur 0 08 022.</w:t>
      </w:r>
    </w:p>
    <w:p>
      <w:r>
        <w:rPr>
          <w:rFonts w:ascii="Verdana" w:hAnsi="Verdana"/>
          <w:i/>
          <w:sz w:val="14"/>
        </w:rPr>
        <w:t>Note 180: Normes pour la transmission des vents: Vitesse Direction Pas d’observation Manquante Manquante Calme 0 0 Observation normale &gt; 0 1° – 360° Vitesse seulement &gt; 0 Manquante Direction seulement Manquante 1° – 360° «Léger et variable» &gt; 0 0</w:t>
      </w:r>
    </w:p>
    <w:p>
      <w:r>
        <w:rPr>
          <w:rFonts w:ascii="Verdana" w:hAnsi="Verdana"/>
          <w:i/>
          <w:sz w:val="14"/>
        </w:rPr>
        <w:t>Note 181: Normes pour la transmission des vagues de la mer du vent et des vagues: Observation Vitesse Direction Pas d’observation Manquante Manquante Calme 0 0 Observation normale &gt; 0 1° – 360° Vitesse seulement &gt; 0 Manquante Direction seulement Manquante 1° – 360° «Léger et variable» &gt; 0 0</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