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14 : Rayonnement et luminance énergétique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0 14 001</w:t>
            </w:r>
          </w:p>
        </w:tc>
        <w:tc>
          <w:tcPr>
            <w:tcW w:type="dxa" w:w="1514"/>
          </w:tcPr>
          <w:p>
            <w:pPr>
              <w:spacing w:before="20" w:after="20"/>
            </w:pPr>
            <w:r/>
            <w:r>
              <w:rPr>
                <w:rFonts w:ascii="Verdana" w:hAnsi="Verdana"/>
                <w:b w:val="0"/>
                <w:sz w:val="16"/>
              </w:rPr>
              <w:t>Rayonnement de grande longueur d'onde, intégré sur 24 heures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0 14 002</w:t>
            </w:r>
          </w:p>
        </w:tc>
        <w:tc>
          <w:tcPr>
            <w:tcW w:type="dxa" w:w="1514"/>
          </w:tcPr>
          <w:p>
            <w:pPr>
              <w:spacing w:before="20" w:after="20"/>
            </w:pPr>
            <w:r/>
            <w:r>
              <w:rPr>
                <w:rFonts w:ascii="Verdana" w:hAnsi="Verdana"/>
                <w:b w:val="0"/>
                <w:sz w:val="16"/>
              </w:rPr>
              <w:t>Rayonnement de grande longueur d'onde,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0 14 003</w:t>
            </w:r>
          </w:p>
        </w:tc>
        <w:tc>
          <w:tcPr>
            <w:tcW w:type="dxa" w:w="1514"/>
          </w:tcPr>
          <w:p>
            <w:pPr>
              <w:spacing w:before="20" w:after="20"/>
            </w:pPr>
            <w:r/>
            <w:r>
              <w:rPr>
                <w:rFonts w:ascii="Verdana" w:hAnsi="Verdana"/>
                <w:b w:val="0"/>
                <w:sz w:val="16"/>
              </w:rPr>
              <w:t>Rayonnement de courte longueur d'onde, intégré sur 24 heures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0 14 004</w:t>
            </w:r>
          </w:p>
        </w:tc>
        <w:tc>
          <w:tcPr>
            <w:tcW w:type="dxa" w:w="1514"/>
          </w:tcPr>
          <w:p>
            <w:pPr>
              <w:spacing w:before="20" w:after="20"/>
            </w:pPr>
            <w:r/>
            <w:r>
              <w:rPr>
                <w:rFonts w:ascii="Verdana" w:hAnsi="Verdana"/>
                <w:b w:val="0"/>
                <w:sz w:val="16"/>
              </w:rPr>
              <w:t>Rayonnement de courte longueur d'onde,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0 14 011</w:t>
            </w:r>
          </w:p>
        </w:tc>
        <w:tc>
          <w:tcPr>
            <w:tcW w:type="dxa" w:w="1514"/>
          </w:tcPr>
          <w:p>
            <w:pPr>
              <w:spacing w:before="20" w:after="20"/>
            </w:pPr>
            <w:r/>
            <w:r>
              <w:rPr>
                <w:rFonts w:ascii="Verdana" w:hAnsi="Verdana"/>
                <w:b w:val="0"/>
                <w:sz w:val="16"/>
              </w:rPr>
              <w:t>Bilan du rayonnement de grande longueur d'onde, intégré sur 24 heures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0 14 012</w:t>
            </w:r>
          </w:p>
        </w:tc>
        <w:tc>
          <w:tcPr>
            <w:tcW w:type="dxa" w:w="1514"/>
          </w:tcPr>
          <w:p>
            <w:pPr>
              <w:spacing w:before="20" w:after="20"/>
            </w:pPr>
            <w:r/>
            <w:r>
              <w:rPr>
                <w:rFonts w:ascii="Verdana" w:hAnsi="Verdana"/>
                <w:b w:val="0"/>
                <w:sz w:val="16"/>
              </w:rPr>
              <w:t>Bilan du rayonnement de grande longueur d'onde,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0 14 013</w:t>
            </w:r>
          </w:p>
        </w:tc>
        <w:tc>
          <w:tcPr>
            <w:tcW w:type="dxa" w:w="1514"/>
          </w:tcPr>
          <w:p>
            <w:pPr>
              <w:spacing w:before="20" w:after="20"/>
            </w:pPr>
            <w:r/>
            <w:r>
              <w:rPr>
                <w:rFonts w:ascii="Verdana" w:hAnsi="Verdana"/>
                <w:b w:val="0"/>
                <w:sz w:val="16"/>
              </w:rPr>
              <w:t>Bilan du rayonnement de courte longueur d'onde, intégré sur 24 heures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0 14 014</w:t>
            </w:r>
          </w:p>
        </w:tc>
        <w:tc>
          <w:tcPr>
            <w:tcW w:type="dxa" w:w="1514"/>
          </w:tcPr>
          <w:p>
            <w:pPr>
              <w:spacing w:before="20" w:after="20"/>
            </w:pPr>
            <w:r/>
            <w:r>
              <w:rPr>
                <w:rFonts w:ascii="Verdana" w:hAnsi="Verdana"/>
                <w:b w:val="0"/>
                <w:sz w:val="16"/>
              </w:rPr>
              <w:t>Bilan du rayonnement de courte longueur d'onde,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0 14 015</w:t>
            </w:r>
          </w:p>
        </w:tc>
        <w:tc>
          <w:tcPr>
            <w:tcW w:type="dxa" w:w="1514"/>
          </w:tcPr>
          <w:p>
            <w:pPr>
              <w:spacing w:before="20" w:after="20"/>
            </w:pPr>
            <w:r/>
            <w:r>
              <w:rPr>
                <w:rFonts w:ascii="Verdana" w:hAnsi="Verdana"/>
                <w:b w:val="0"/>
                <w:sz w:val="16"/>
              </w:rPr>
              <w:t>Bilan du rayonnement, intégré sur 24 heures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-16384</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0 14 016</w:t>
            </w:r>
          </w:p>
        </w:tc>
        <w:tc>
          <w:tcPr>
            <w:tcW w:type="dxa" w:w="1514"/>
          </w:tcPr>
          <w:p>
            <w:pPr>
              <w:spacing w:before="20" w:after="20"/>
            </w:pPr>
            <w:r/>
            <w:r>
              <w:rPr>
                <w:rFonts w:ascii="Verdana" w:hAnsi="Verdana"/>
                <w:b w:val="0"/>
                <w:sz w:val="16"/>
              </w:rPr>
              <w:t>Bilan du rayonnement,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-16384</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0 14 017</w:t>
            </w:r>
          </w:p>
        </w:tc>
        <w:tc>
          <w:tcPr>
            <w:tcW w:type="dxa" w:w="1514"/>
          </w:tcPr>
          <w:p>
            <w:pPr>
              <w:spacing w:before="20" w:after="20"/>
            </w:pPr>
            <w:r/>
            <w:r>
              <w:rPr>
                <w:rFonts w:ascii="Verdana" w:hAnsi="Verdana"/>
                <w:b w:val="0"/>
                <w:sz w:val="16"/>
              </w:rPr>
              <w:t>Rayonnement instantané de grande longueur d'onde</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-512</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0 14 018</w:t>
            </w:r>
          </w:p>
        </w:tc>
        <w:tc>
          <w:tcPr>
            <w:tcW w:type="dxa" w:w="1514"/>
          </w:tcPr>
          <w:p>
            <w:pPr>
              <w:spacing w:before="20" w:after="20"/>
            </w:pPr>
            <w:r/>
            <w:r>
              <w:rPr>
                <w:rFonts w:ascii="Verdana" w:hAnsi="Verdana"/>
                <w:b w:val="0"/>
                <w:sz w:val="16"/>
              </w:rPr>
              <w:t>Rayonnement instantané de courte longueur d'onde</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0 14 019</w:t>
            </w:r>
          </w:p>
        </w:tc>
        <w:tc>
          <w:tcPr>
            <w:tcW w:type="dxa" w:w="1514"/>
          </w:tcPr>
          <w:p>
            <w:pPr>
              <w:spacing w:before="20" w:after="20"/>
            </w:pPr>
            <w:r/>
            <w:r>
              <w:rPr>
                <w:rFonts w:ascii="Verdana" w:hAnsi="Verdana"/>
                <w:b w:val="0"/>
                <w:sz w:val="16"/>
              </w:rPr>
              <w:t>Albédo de la surface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0 14 020</w:t>
            </w:r>
          </w:p>
        </w:tc>
        <w:tc>
          <w:tcPr>
            <w:tcW w:type="dxa" w:w="1514"/>
          </w:tcPr>
          <w:p>
            <w:pPr>
              <w:spacing w:before="20" w:after="20"/>
            </w:pPr>
            <w:r/>
            <w:r>
              <w:rPr>
                <w:rFonts w:ascii="Verdana" w:hAnsi="Verdana"/>
                <w:b w:val="0"/>
                <w:sz w:val="16"/>
              </w:rPr>
              <w:t>Rayonnement solaire global, intégré sur 24 heures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0 14 021</w:t>
            </w:r>
          </w:p>
        </w:tc>
        <w:tc>
          <w:tcPr>
            <w:tcW w:type="dxa" w:w="1514"/>
          </w:tcPr>
          <w:p>
            <w:pPr>
              <w:spacing w:before="20" w:after="20"/>
            </w:pPr>
            <w:r/>
            <w:r>
              <w:rPr>
                <w:rFonts w:ascii="Verdana" w:hAnsi="Verdana"/>
                <w:b w:val="0"/>
                <w:sz w:val="16"/>
              </w:rPr>
              <w:t>Rayonnement solaire global,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0 14 022</w:t>
            </w:r>
          </w:p>
        </w:tc>
        <w:tc>
          <w:tcPr>
            <w:tcW w:type="dxa" w:w="1514"/>
          </w:tcPr>
          <w:p>
            <w:pPr>
              <w:spacing w:before="20" w:after="20"/>
            </w:pPr>
            <w:r/>
            <w:r>
              <w:rPr>
                <w:rFonts w:ascii="Verdana" w:hAnsi="Verdana"/>
                <w:b w:val="0"/>
                <w:sz w:val="16"/>
              </w:rPr>
              <w:t>Rayonnement solaire diffus, intégré sur 24 heures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0 14 023</w:t>
            </w:r>
          </w:p>
        </w:tc>
        <w:tc>
          <w:tcPr>
            <w:tcW w:type="dxa" w:w="1514"/>
          </w:tcPr>
          <w:p>
            <w:pPr>
              <w:spacing w:before="20" w:after="20"/>
            </w:pPr>
            <w:r/>
            <w:r>
              <w:rPr>
                <w:rFonts w:ascii="Verdana" w:hAnsi="Verdana"/>
                <w:b w:val="0"/>
                <w:sz w:val="16"/>
              </w:rPr>
              <w:t>Rayonnement solaire diffus,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0 14 024</w:t>
            </w:r>
          </w:p>
        </w:tc>
        <w:tc>
          <w:tcPr>
            <w:tcW w:type="dxa" w:w="1514"/>
          </w:tcPr>
          <w:p>
            <w:pPr>
              <w:spacing w:before="20" w:after="20"/>
            </w:pPr>
            <w:r/>
            <w:r>
              <w:rPr>
                <w:rFonts w:ascii="Verdana" w:hAnsi="Verdana"/>
                <w:b w:val="0"/>
                <w:sz w:val="16"/>
              </w:rPr>
              <w:t>Rayonnement solaire direct, intégré sur 24 heures</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0 14 025</w:t>
            </w:r>
          </w:p>
        </w:tc>
        <w:tc>
          <w:tcPr>
            <w:tcW w:type="dxa" w:w="1514"/>
          </w:tcPr>
          <w:p>
            <w:pPr>
              <w:spacing w:before="20" w:after="20"/>
            </w:pPr>
            <w:r/>
            <w:r>
              <w:rPr>
                <w:rFonts w:ascii="Verdana" w:hAnsi="Verdana"/>
                <w:b w:val="0"/>
                <w:sz w:val="16"/>
              </w:rPr>
              <w:t>Rayonnement solaire direct,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0 14 026</w:t>
            </w:r>
          </w:p>
        </w:tc>
        <w:tc>
          <w:tcPr>
            <w:tcW w:type="dxa" w:w="1514"/>
          </w:tcPr>
          <w:p>
            <w:pPr>
              <w:spacing w:before="20" w:after="20"/>
            </w:pPr>
            <w:r/>
            <w:r>
              <w:rPr>
                <w:rFonts w:ascii="Verdana" w:hAnsi="Verdana"/>
                <w:b w:val="0"/>
                <w:sz w:val="16"/>
              </w:rPr>
              <w:t>Albédo au sommet des nuages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0 14 027</w:t>
            </w:r>
          </w:p>
        </w:tc>
        <w:tc>
          <w:tcPr>
            <w:tcW w:type="dxa" w:w="1514"/>
          </w:tcPr>
          <w:p>
            <w:pPr>
              <w:spacing w:before="20" w:after="20"/>
            </w:pPr>
            <w:r/>
            <w:r>
              <w:rPr>
                <w:rFonts w:ascii="Verdana" w:hAnsi="Verdana"/>
                <w:b w:val="0"/>
                <w:sz w:val="16"/>
              </w:rPr>
              <w:t>Albédo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0 14 028</w:t>
            </w:r>
          </w:p>
        </w:tc>
        <w:tc>
          <w:tcPr>
            <w:tcW w:type="dxa" w:w="1514"/>
          </w:tcPr>
          <w:p>
            <w:pPr>
              <w:spacing w:before="20" w:after="20"/>
            </w:pPr>
            <w:r/>
            <w:r>
              <w:rPr>
                <w:rFonts w:ascii="Verdana" w:hAnsi="Verdana"/>
                <w:b w:val="0"/>
                <w:sz w:val="16"/>
              </w:rPr>
              <w:t>Rayonnement solaire global (précision élevée),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0 14 029</w:t>
            </w:r>
          </w:p>
        </w:tc>
        <w:tc>
          <w:tcPr>
            <w:tcW w:type="dxa" w:w="1514"/>
          </w:tcPr>
          <w:p>
            <w:pPr>
              <w:spacing w:before="20" w:after="20"/>
            </w:pPr>
            <w:r/>
            <w:r>
              <w:rPr>
                <w:rFonts w:ascii="Verdana" w:hAnsi="Verdana"/>
                <w:b w:val="0"/>
                <w:sz w:val="16"/>
              </w:rPr>
              <w:t>Rayonnement solaire diffus (précision élevée),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0 14 030</w:t>
            </w:r>
          </w:p>
        </w:tc>
        <w:tc>
          <w:tcPr>
            <w:tcW w:type="dxa" w:w="1514"/>
          </w:tcPr>
          <w:p>
            <w:pPr>
              <w:spacing w:before="20" w:after="20"/>
            </w:pPr>
            <w:r/>
            <w:r>
              <w:rPr>
                <w:rFonts w:ascii="Verdana" w:hAnsi="Verdana"/>
                <w:b w:val="0"/>
                <w:sz w:val="16"/>
              </w:rPr>
              <w:t>Rayonnement solaire direct (précision élevée),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0 14 031</w:t>
            </w:r>
          </w:p>
        </w:tc>
        <w:tc>
          <w:tcPr>
            <w:tcW w:type="dxa" w:w="1514"/>
          </w:tcPr>
          <w:p>
            <w:pPr>
              <w:spacing w:before="20" w:after="20"/>
            </w:pPr>
            <w:r/>
            <w:r>
              <w:rPr>
                <w:rFonts w:ascii="Verdana" w:hAnsi="Verdana"/>
                <w:b w:val="0"/>
                <w:sz w:val="16"/>
              </w:rPr>
              <w:t>Insolation totale</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0 14 032</w:t>
            </w:r>
          </w:p>
        </w:tc>
        <w:tc>
          <w:tcPr>
            <w:tcW w:type="dxa" w:w="1514"/>
          </w:tcPr>
          <w:p>
            <w:pPr>
              <w:spacing w:before="20" w:after="20"/>
            </w:pPr>
            <w:r/>
            <w:r>
              <w:rPr>
                <w:rFonts w:ascii="Verdana" w:hAnsi="Verdana"/>
                <w:b w:val="0"/>
                <w:sz w:val="16"/>
              </w:rPr>
              <w:t>Insolation totale</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0 14 033</w:t>
            </w:r>
          </w:p>
        </w:tc>
        <w:tc>
          <w:tcPr>
            <w:tcW w:type="dxa" w:w="1514"/>
          </w:tcPr>
          <w:p>
            <w:pPr>
              <w:spacing w:before="20" w:after="20"/>
            </w:pPr>
            <w:r/>
            <w:r>
              <w:rPr>
                <w:rFonts w:ascii="Verdana" w:hAnsi="Verdana"/>
                <w:b w:val="0"/>
                <w:sz w:val="16"/>
              </w:rPr>
              <w:t>Insolation totale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0 14 034</w:t>
            </w:r>
          </w:p>
        </w:tc>
        <w:tc>
          <w:tcPr>
            <w:tcW w:type="dxa" w:w="1514"/>
          </w:tcPr>
          <w:p>
            <w:pPr>
              <w:spacing w:before="20" w:after="20"/>
            </w:pPr>
            <w:r/>
            <w:r>
              <w:rPr>
                <w:rFonts w:ascii="Verdana" w:hAnsi="Verdana"/>
                <w:b w:val="0"/>
                <w:sz w:val="16"/>
              </w:rPr>
              <w:t>Insolation sur une période déterminée</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0 14 035</w:t>
            </w:r>
          </w:p>
        </w:tc>
        <w:tc>
          <w:tcPr>
            <w:tcW w:type="dxa" w:w="1514"/>
          </w:tcPr>
          <w:p>
            <w:pPr>
              <w:spacing w:before="20" w:after="20"/>
            </w:pPr>
            <w:r/>
            <w:r>
              <w:rPr>
                <w:rFonts w:ascii="Verdana" w:hAnsi="Verdana"/>
                <w:b w:val="0"/>
                <w:sz w:val="16"/>
              </w:rPr>
              <w:t>Flux de rayonnement solaire</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0 14 042</w:t>
            </w:r>
          </w:p>
        </w:tc>
        <w:tc>
          <w:tcPr>
            <w:tcW w:type="dxa" w:w="1514"/>
          </w:tcPr>
          <w:p>
            <w:pPr>
              <w:spacing w:before="20" w:after="20"/>
            </w:pPr>
            <w:r/>
            <w:r>
              <w:rPr>
                <w:rFonts w:ascii="Verdana" w:hAnsi="Verdana"/>
                <w:b w:val="0"/>
                <w:sz w:val="16"/>
              </w:rPr>
              <w:t>Facteur de réflexion bidirectionnelle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0 14 043</w:t>
            </w:r>
          </w:p>
        </w:tc>
        <w:tc>
          <w:tcPr>
            <w:tcW w:type="dxa" w:w="1514"/>
          </w:tcPr>
          <w:p>
            <w:pPr>
              <w:spacing w:before="20" w:after="20"/>
            </w:pPr>
            <w:r/>
            <w:r>
              <w:rPr>
                <w:rFonts w:ascii="Verdana" w:hAnsi="Verdana"/>
                <w:b w:val="0"/>
                <w:sz w:val="16"/>
              </w:rPr>
              <w:t>Luminance énergétique dans le canal</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um</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um</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Note 35: Le décalage dans le temps de longue durée 0 04 086 est établi par rapport à l’heure du lâcher 3 01 013 (en secondes).</w:t>
            </w:r>
          </w:p>
        </w:tc>
      </w:tr>
      <w:tr>
        <w:trPr>
          <w:cantSplit/>
        </w:trPr>
        <w:tc>
          <w:tcPr>
            <w:tcW w:type="dxa" w:w="1514"/>
          </w:tcPr>
          <w:p>
            <w:pPr>
              <w:spacing w:before="20" w:after="20"/>
            </w:pPr>
            <w:r/>
            <w:r>
              <w:rPr>
                <w:rFonts w:ascii="Verdana" w:hAnsi="Verdana"/>
                <w:b w:val="0"/>
                <w:sz w:val="16"/>
              </w:rPr>
              <w:t>0 14 044</w:t>
            </w:r>
          </w:p>
        </w:tc>
        <w:tc>
          <w:tcPr>
            <w:tcW w:type="dxa" w:w="1514"/>
          </w:tcPr>
          <w:p>
            <w:pPr>
              <w:spacing w:before="20" w:after="20"/>
            </w:pPr>
            <w:r/>
            <w:r>
              <w:rPr>
                <w:rFonts w:ascii="Verdana" w:hAnsi="Verdana"/>
                <w:b w:val="0"/>
                <w:sz w:val="16"/>
              </w:rPr>
              <w:t>Luminance énergétique dans le canal</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cm</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cm</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0 14 045</w:t>
            </w:r>
          </w:p>
        </w:tc>
        <w:tc>
          <w:tcPr>
            <w:tcW w:type="dxa" w:w="1514"/>
          </w:tcPr>
          <w:p>
            <w:pPr>
              <w:spacing w:before="20" w:after="20"/>
            </w:pPr>
            <w:r/>
            <w:r>
              <w:rPr>
                <w:rFonts w:ascii="Verdana" w:hAnsi="Verdana"/>
                <w:b w:val="0"/>
                <w:sz w:val="16"/>
              </w:rPr>
              <w:t>Luminance énergétique dans le canal</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cm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cm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36: Pour la luminance énergétique dans le canal (0 14 045), on utilise les cm pour représenter le nombre d’onde.</w:t>
            </w:r>
          </w:p>
        </w:tc>
      </w:tr>
      <w:tr>
        <w:trPr>
          <w:cantSplit/>
        </w:trPr>
        <w:tc>
          <w:tcPr>
            <w:tcW w:type="dxa" w:w="1514"/>
          </w:tcPr>
          <w:p>
            <w:pPr>
              <w:spacing w:before="20" w:after="20"/>
            </w:pPr>
            <w:r/>
            <w:r>
              <w:rPr>
                <w:rFonts w:ascii="Verdana" w:hAnsi="Verdana"/>
                <w:b w:val="0"/>
                <w:sz w:val="16"/>
              </w:rPr>
              <w:t>0 14 046</w:t>
            </w:r>
          </w:p>
        </w:tc>
        <w:tc>
          <w:tcPr>
            <w:tcW w:type="dxa" w:w="1514"/>
          </w:tcPr>
          <w:p>
            <w:pPr>
              <w:spacing w:before="20" w:after="20"/>
            </w:pPr>
            <w:r/>
            <w:r>
              <w:rPr>
                <w:rFonts w:ascii="Verdana" w:hAnsi="Verdana"/>
                <w:b w:val="0"/>
                <w:sz w:val="16"/>
              </w:rPr>
              <w:t>Luminance énergétique mise à l'échelle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29: L’éclaircissage fait ici référence à une méthode pouvant être employée pour sélectionner un sous-ensemble de niveaux à partir d’un modèle qui peut comporter un grand nombre de niveaux verticaux en aval. En ne sélectionnant qu’un sous-ensemble, on réduit l’extension du pseudo-sondage, au risque toutefois d’entraîner une perte d’information et un supplément de traitement.</w:t>
            </w:r>
          </w:p>
        </w:tc>
      </w:tr>
      <w:tr>
        <w:trPr>
          <w:cantSplit/>
        </w:trPr>
        <w:tc>
          <w:tcPr>
            <w:tcW w:type="dxa" w:w="1514"/>
          </w:tcPr>
          <w:p>
            <w:pPr>
              <w:spacing w:before="20" w:after="20"/>
            </w:pPr>
            <w:r/>
            <w:r>
              <w:rPr>
                <w:rFonts w:ascii="Verdana" w:hAnsi="Verdana"/>
                <w:b w:val="0"/>
                <w:sz w:val="16"/>
              </w:rPr>
              <w:t>0 14 047</w:t>
            </w:r>
          </w:p>
        </w:tc>
        <w:tc>
          <w:tcPr>
            <w:tcW w:type="dxa" w:w="1514"/>
          </w:tcPr>
          <w:p>
            <w:pPr>
              <w:spacing w:before="20" w:after="20"/>
            </w:pPr>
            <w:r/>
            <w:r>
              <w:rPr>
                <w:rFonts w:ascii="Verdana" w:hAnsi="Verdana"/>
                <w:b w:val="0"/>
                <w:sz w:val="16"/>
              </w:rPr>
              <w:t>Luminance moyenne AVHRR mise à l'échelle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0 14 048</w:t>
            </w:r>
          </w:p>
        </w:tc>
        <w:tc>
          <w:tcPr>
            <w:tcW w:type="dxa" w:w="1514"/>
          </w:tcPr>
          <w:p>
            <w:pPr>
              <w:spacing w:before="20" w:after="20"/>
            </w:pPr>
            <w:r/>
            <w:r>
              <w:rPr>
                <w:rFonts w:ascii="Verdana" w:hAnsi="Verdana"/>
                <w:b w:val="0"/>
                <w:sz w:val="16"/>
              </w:rPr>
              <w:t>Écart type de la luminance AVHRR mise à l'échelle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r>
              <w:rPr>
                <w:rFonts w:ascii="Verdana" w:hAnsi="Verdana"/>
                <w:sz w:val="16"/>
              </w:rPr>
              <w:t xml:space="preserve">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0 14 050</w:t>
            </w:r>
          </w:p>
        </w:tc>
        <w:tc>
          <w:tcPr>
            <w:tcW w:type="dxa" w:w="1514"/>
          </w:tcPr>
          <w:p>
            <w:pPr>
              <w:spacing w:before="20" w:after="20"/>
            </w:pPr>
            <w:r/>
            <w:r>
              <w:rPr>
                <w:rFonts w:ascii="Verdana" w:hAnsi="Verdana"/>
                <w:b w:val="0"/>
                <w:sz w:val="16"/>
              </w:rPr>
              <w:t>Émissivité</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69: Ne plus employer cette séquence compte tenu de l’usage incorrect du descripteur 0 04 075; il y a lieu d’utiliser en remplacement la séquence 3 06 019.</w:t>
            </w:r>
          </w:p>
        </w:tc>
      </w:tr>
      <w:tr>
        <w:trPr>
          <w:cantSplit/>
        </w:trPr>
        <w:tc>
          <w:tcPr>
            <w:tcW w:type="dxa" w:w="1514"/>
          </w:tcPr>
          <w:p>
            <w:pPr>
              <w:spacing w:before="20" w:after="20"/>
            </w:pPr>
            <w:r/>
            <w:r>
              <w:rPr>
                <w:rFonts w:ascii="Verdana" w:hAnsi="Verdana"/>
                <w:b w:val="0"/>
                <w:sz w:val="16"/>
              </w:rPr>
              <w:t>0 14 051</w:t>
            </w:r>
          </w:p>
        </w:tc>
        <w:tc>
          <w:tcPr>
            <w:tcW w:type="dxa" w:w="1514"/>
          </w:tcPr>
          <w:p>
            <w:pPr>
              <w:spacing w:before="20" w:after="20"/>
            </w:pPr>
            <w:r/>
            <w:r>
              <w:rPr>
                <w:rFonts w:ascii="Verdana" w:hAnsi="Verdana"/>
                <w:b w:val="0"/>
                <w:sz w:val="16"/>
              </w:rPr>
              <w:t>Rayonnement solaire direct, intégré au cours de la dernière heure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0 14 052</w:t>
            </w:r>
          </w:p>
        </w:tc>
        <w:tc>
          <w:tcPr>
            <w:tcW w:type="dxa" w:w="1514"/>
          </w:tcPr>
          <w:p>
            <w:pPr>
              <w:spacing w:before="20" w:after="20"/>
            </w:pPr>
            <w:r/>
            <w:r>
              <w:rPr>
                <w:rFonts w:ascii="Verdana" w:hAnsi="Verdana"/>
                <w:b w:val="0"/>
                <w:sz w:val="16"/>
              </w:rPr>
              <w:t>Rayonnement solaire global ascendant,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-1048574</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0 14 053</w:t>
            </w:r>
          </w:p>
        </w:tc>
        <w:tc>
          <w:tcPr>
            <w:tcW w:type="dxa" w:w="1514"/>
          </w:tcPr>
          <w:p>
            <w:pPr>
              <w:spacing w:before="20" w:after="20"/>
            </w:pPr>
            <w:r/>
            <w:r>
              <w:rPr>
                <w:rFonts w:ascii="Verdana" w:hAnsi="Verdana"/>
                <w:b w:val="0"/>
                <w:sz w:val="16"/>
              </w:rPr>
              <w:t>Bilan du rayonnement (précision élevée),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-1048574</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0 14 054</w:t>
            </w:r>
          </w:p>
        </w:tc>
        <w:tc>
          <w:tcPr>
            <w:tcW w:type="dxa" w:w="1514"/>
          </w:tcPr>
          <w:p>
            <w:pPr>
              <w:spacing w:before="20" w:after="20"/>
            </w:pPr>
            <w:r/>
            <w:r>
              <w:rPr>
                <w:rFonts w:ascii="Verdana" w:hAnsi="Verdana"/>
                <w:b w:val="0"/>
                <w:sz w:val="16"/>
              </w:rPr>
              <w:t>Rayonnement photosynthétiquement actif, intégré sur une période déterminée</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0 14 055</w:t>
            </w:r>
          </w:p>
        </w:tc>
        <w:tc>
          <w:tcPr>
            <w:tcW w:type="dxa" w:w="1514"/>
          </w:tcPr>
          <w:p>
            <w:pPr>
              <w:spacing w:before="20" w:after="20"/>
            </w:pPr>
            <w:r/>
            <w:r>
              <w:rPr>
                <w:rFonts w:ascii="Verdana" w:hAnsi="Verdana"/>
                <w:b w:val="0"/>
                <w:sz w:val="16"/>
              </w:rPr>
              <w:t>Indice de l'activité solaire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0 14 056</w:t>
            </w:r>
          </w:p>
        </w:tc>
        <w:tc>
          <w:tcPr>
            <w:tcW w:type="dxa" w:w="1514"/>
          </w:tcPr>
          <w:p>
            <w:pPr>
              <w:spacing w:before="20" w:after="20"/>
            </w:pPr>
            <w:r/>
            <w:r>
              <w:rPr>
                <w:rFonts w:ascii="Verdana" w:hAnsi="Verdana"/>
                <w:b w:val="0"/>
                <w:sz w:val="16"/>
              </w:rPr>
              <w:t>Luminance de fond</w:t>
            </w:r>
          </w:p>
        </w:tc>
        <w:tc>
          <w:tcPr>
            <w:tcW w:type="dxa" w:w="1514"/>
          </w:tcPr>
          <w:p>
            <w:pPr>
              <w:spacing w:before="20" w:after="20"/>
            </w:pPr>
            <w:r/>
            <w:r>
              <w:rPr>
                <w:rFonts w:ascii="Verdana" w:hAnsi="Verdana"/>
                <w:sz w:val="16"/>
              </w:rPr>
              <w:t>Cd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Cd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0 14 057</w:t>
            </w:r>
          </w:p>
        </w:tc>
        <w:tc>
          <w:tcPr>
            <w:tcW w:type="dxa" w:w="1514"/>
          </w:tcPr>
          <w:p>
            <w:pPr>
              <w:spacing w:before="20" w:after="20"/>
            </w:pPr>
            <w:r/>
            <w:r>
              <w:rPr>
                <w:rFonts w:ascii="Verdana" w:hAnsi="Verdana"/>
                <w:b w:val="0"/>
                <w:sz w:val="16"/>
              </w:rPr>
              <w:t>Flux de chaleur du sol</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-1048574</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0 14 072</w:t>
            </w:r>
          </w:p>
        </w:tc>
        <w:tc>
          <w:tcPr>
            <w:tcW w:type="dxa" w:w="1514"/>
          </w:tcPr>
          <w:p>
            <w:pPr>
              <w:spacing w:before="20" w:after="20"/>
            </w:pPr>
            <w:r/>
            <w:r>
              <w:rPr>
                <w:rFonts w:ascii="Verdana" w:hAnsi="Verdana"/>
                <w:b w:val="0"/>
                <w:sz w:val="16"/>
              </w:rPr>
              <w:t>Rayonnement ultraviolet global</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-4000000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J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Note 83: Le rayonnement ultraviolet global (0 14 072) correspond à l’énergie reçue sous forme de lumière ultraviolette, intégrée sur une période déterminée dans une bande spectrale donnée. 0 14 072 est précédé d’un descripteur de période ainsi que de la longueur d’onde spectrographique (0 02 071) et de la largeur spectrographique (0 02 072). Par exemple, quand 0 14 072 est utilisé pour indiquer le rayonnement ultraviolet global, 0 02 071 et 0 02 072 précisent la bande spectrale de 280 à 315 nm.</w:t>
            </w:r>
          </w:p>
        </w:tc>
      </w:tr>
    </w:tbl>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