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15 : Constituants physiques/chimiques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Ozone total</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Masse d'air (correspondant à une trajectoire oblique à une altitude de 22 km)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Pression partielle de l'ozone mesuré (sondage)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Facteur de correction du sondage de l'ozone (CF)</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 Le modèle 3 07 082 est caduc.</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Pression partielle de l'ozone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 La séquence 3 10 027 est caduque.</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de la concentration en nombre des particules de l'atmosphère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Mantisse du rapport de mélange volumétrique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de la concentration en nombre de molécules d'ozone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Log10 de la densité électronique intégrée</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Nombre total d'électrons par mètre carré</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Valeur maximale du spectre de l'image avant normalisation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Densité d'ozone intégrée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Densité de masse intégrée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Épaisseur optique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Type de polluant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Concentration du polluant (mol mol-1)</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Concentration du polluant (kg m-3)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Fraction molaire du constituant/ polluant atmosphérique en air sec</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Coefficient d'atténuation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Indice de contamination par aérosols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79: Pour ce descripteur, les nombres inférieurs à –1 indiquent une prédominance d’aérosols de dispersion, dont la concentration augmente au fur et à mesure que la valeur du nombre baisse. Les nombres supérieurs à +1 indiquent une prédominance d’aérosols absorbants, dont la concentration augmente au fur et à mesure que la valeur du nombre augmente. Les nombres entre –1 et +1 indiquent des nuages ou du bruit.</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Retard de propagation dans l'atmosphère du signal du satellite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Erreur estimative du retard de propagation dans l'atmosphère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Différence des retards de propagation pour des visées du limbe aux limites extrêmes du balayage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Erreur estimative de la différence des retards de propagation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Composante du retard de propagation pour une visée au zénith due à la vapeur d'eau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Réfractivité atmosphérique</w:t>
            </w:r>
          </w:p>
        </w:tc>
        <w:tc>
          <w:tcPr>
            <w:tcW w:type="dxa" w:w="1514"/>
          </w:tcPr>
          <w:p>
            <w:pPr>
              <w:spacing w:before="20" w:after="20"/>
            </w:pPr>
            <w:r/>
            <w:r>
              <w:rPr>
                <w:rFonts w:ascii="Verdana" w:hAnsi="Verdana"/>
                <w:sz w:val="16"/>
              </w:rPr>
              <w:t>Unités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Unités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142: Le rapport entre la réfractivité N et l’indice de réfraction n est donné par la formule N = 10 6 ( n – 1). N est donc adimensionnel, mais les valeurs obtenues à partir de cette formule sont données par convention en unités N.</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Angle de courbure</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Indice de dioxyde de soufre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78: Pour définir la période considérée, il faut répéter une fois le descripteur 0 04 024.</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Facteur de réflexion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Dioxyde de soufre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77: Dans la Région III, la température maximale diurne et la température minimale nocturne sont trans- mises (l’heure de fin de la période peut ne pas correspondre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Indice de contamination volcanique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80: Pour ce descripteur, les unités représentent l’écart-type climatologique de la valeur de l’ozone troposhérique pour une altitude donnée. Par exemple, une valeur de 5,0 indique un profil pour lequel les écarts-types pour une valeur d’ozone troposphérique de 5,0 sont supérieurs à la moyenne climatologique.</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Exposant d'Ångström de l'aérosol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Portée optique météorologique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Log10 de la concentration en nombre de particules d'aérosols de diamètre supérieur à 5 nm</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Log10 de la concentration en nombre de particules d'aérosols de diamètre supérieur à 14 nm</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Log10 de la concentration en nombre de particules d'aérosols de diamètre compris entre 0.25 et 2.5 µm</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Proportion d'aérosols non volatils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Épaisseur optique des aérosols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Rétrodiffusion atténuée</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Incertitude relative à la rétrodiffusion atténuée</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Coefficient de rétrodiffusion des particules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Incertitude relative au coefficient de rétrodiffusion des particules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Coefficient d'atténuation des particules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Incertitude relative au coefficient d'atténuation des particules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Rapport lidar des particules</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Incertitude relative au rapport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Rapport de dépolarisation des particules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Incertitude relative au rapport de dépolarisation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