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19 : Caractéristiques synoptiques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0 19 001</w:t>
            </w:r>
          </w:p>
        </w:tc>
        <w:tc>
          <w:tcPr>
            <w:tcW w:type="dxa" w:w="1514"/>
          </w:tcPr>
          <w:p>
            <w:pPr>
              <w:spacing w:before="20" w:after="20"/>
            </w:pPr>
            <w:r/>
            <w:r>
              <w:rPr>
                <w:rFonts w:ascii="Verdana" w:hAnsi="Verdana"/>
                <w:b w:val="0"/>
                <w:sz w:val="16"/>
              </w:rPr>
              <w:t>Type de la caractéristique synoptique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0 19 002</w:t>
            </w:r>
          </w:p>
        </w:tc>
        <w:tc>
          <w:tcPr>
            <w:tcW w:type="dxa" w:w="1514"/>
          </w:tcPr>
          <w:p>
            <w:pPr>
              <w:spacing w:before="20" w:after="20"/>
            </w:pPr>
            <w:r/>
            <w:r>
              <w:rPr>
                <w:rFonts w:ascii="Verdana" w:hAnsi="Verdana"/>
                <w:b w:val="0"/>
                <w:sz w:val="16"/>
              </w:rPr>
              <w:t>Rayon réel de la caractéristique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138: Le rayon réel de la caractéristique est défini en fonction du rayon de l’isobare de 1000 hPa au niveau moyen de la mer.</w:t>
            </w:r>
          </w:p>
        </w:tc>
      </w:tr>
      <w:tr>
        <w:trPr>
          <w:cantSplit/>
        </w:trPr>
        <w:tc>
          <w:tcPr>
            <w:tcW w:type="dxa" w:w="1514"/>
          </w:tcPr>
          <w:p>
            <w:pPr>
              <w:spacing w:before="20" w:after="20"/>
            </w:pPr>
            <w:r/>
            <w:r>
              <w:rPr>
                <w:rFonts w:ascii="Verdana" w:hAnsi="Verdana"/>
                <w:b w:val="0"/>
                <w:sz w:val="16"/>
              </w:rPr>
              <w:t>0 19 003</w:t>
            </w:r>
          </w:p>
        </w:tc>
        <w:tc>
          <w:tcPr>
            <w:tcW w:type="dxa" w:w="1514"/>
          </w:tcPr>
          <w:p>
            <w:pPr>
              <w:spacing w:before="20" w:after="20"/>
            </w:pPr>
            <w:r/>
            <w:r>
              <w:rPr>
                <w:rFonts w:ascii="Verdana" w:hAnsi="Verdana"/>
                <w:b w:val="0"/>
                <w:sz w:val="16"/>
              </w:rPr>
              <w:t>Seuil de 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99: Le vent maximal et le rayon effectif du vent maximal sont indiqués par les descripteurs 0 19 003 et 0 19 004.</w:t>
            </w:r>
          </w:p>
        </w:tc>
      </w:tr>
      <w:tr>
        <w:trPr>
          <w:cantSplit/>
        </w:trPr>
        <w:tc>
          <w:tcPr>
            <w:tcW w:type="dxa" w:w="1514"/>
          </w:tcPr>
          <w:p>
            <w:pPr>
              <w:spacing w:before="20" w:after="20"/>
            </w:pPr>
            <w:r/>
            <w:r>
              <w:rPr>
                <w:rFonts w:ascii="Verdana" w:hAnsi="Verdana"/>
                <w:b w:val="0"/>
                <w:sz w:val="16"/>
              </w:rPr>
              <w:t>0 19 004</w:t>
            </w:r>
          </w:p>
        </w:tc>
        <w:tc>
          <w:tcPr>
            <w:tcW w:type="dxa" w:w="1514"/>
          </w:tcPr>
          <w:p>
            <w:pPr>
              <w:spacing w:before="20" w:after="20"/>
            </w:pPr>
            <w:r/>
            <w:r>
              <w:rPr>
                <w:rFonts w:ascii="Verdana" w:hAnsi="Verdana"/>
                <w:b w:val="0"/>
                <w:sz w:val="16"/>
              </w:rPr>
              <w:t>Rayon réel pour les vitesses du vent supérieures au seuil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99: Le vent maximal et le rayon effectif du vent maximal sont indiqués par les descripteurs 0 19 003 et 0 19 004.</w:t>
            </w:r>
          </w:p>
        </w:tc>
      </w:tr>
      <w:tr>
        <w:trPr>
          <w:cantSplit/>
        </w:trPr>
        <w:tc>
          <w:tcPr>
            <w:tcW w:type="dxa" w:w="1514"/>
          </w:tcPr>
          <w:p>
            <w:pPr>
              <w:spacing w:before="20" w:after="20"/>
            </w:pPr>
            <w:r/>
            <w:r>
              <w:rPr>
                <w:rFonts w:ascii="Verdana" w:hAnsi="Verdana"/>
                <w:b w:val="0"/>
                <w:sz w:val="16"/>
              </w:rPr>
              <w:t>0 19 005</w:t>
            </w:r>
          </w:p>
        </w:tc>
        <w:tc>
          <w:tcPr>
            <w:tcW w:type="dxa" w:w="1514"/>
          </w:tcPr>
          <w:p>
            <w:pPr>
              <w:spacing w:before="20" w:after="20"/>
            </w:pPr>
            <w:r/>
            <w:r>
              <w:rPr>
                <w:rFonts w:ascii="Verdana" w:hAnsi="Verdana"/>
                <w:b w:val="0"/>
                <w:sz w:val="16"/>
              </w:rPr>
              <w:t>Direction de déplacement de la caractéristique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0 19 006</w:t>
            </w:r>
          </w:p>
        </w:tc>
        <w:tc>
          <w:tcPr>
            <w:tcW w:type="dxa" w:w="1514"/>
          </w:tcPr>
          <w:p>
            <w:pPr>
              <w:spacing w:before="20" w:after="20"/>
            </w:pPr>
            <w:r/>
            <w:r>
              <w:rPr>
                <w:rFonts w:ascii="Verdana" w:hAnsi="Verdana"/>
                <w:b w:val="0"/>
                <w:sz w:val="16"/>
              </w:rPr>
              <w:t>Vitesse de déplacement de la caractéristique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0 19 007</w:t>
            </w:r>
          </w:p>
        </w:tc>
        <w:tc>
          <w:tcPr>
            <w:tcW w:type="dxa" w:w="1514"/>
          </w:tcPr>
          <w:p>
            <w:pPr>
              <w:spacing w:before="20" w:after="20"/>
            </w:pPr>
            <w:r/>
            <w:r>
              <w:rPr>
                <w:rFonts w:ascii="Verdana" w:hAnsi="Verdana"/>
                <w:b w:val="0"/>
                <w:sz w:val="16"/>
              </w:rPr>
              <w:t>Rayon réel de la caractéristique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0 19 008</w:t>
            </w:r>
          </w:p>
        </w:tc>
        <w:tc>
          <w:tcPr>
            <w:tcW w:type="dxa" w:w="1514"/>
          </w:tcPr>
          <w:p>
            <w:pPr>
              <w:spacing w:before="20" w:after="20"/>
            </w:pPr>
            <w:r/>
            <w:r>
              <w:rPr>
                <w:rFonts w:ascii="Verdana" w:hAnsi="Verdana"/>
                <w:b w:val="0"/>
                <w:sz w:val="16"/>
              </w:rPr>
              <w:t>Extension verticale de la circulation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0 19 009</w:t>
            </w:r>
          </w:p>
        </w:tc>
        <w:tc>
          <w:tcPr>
            <w:tcW w:type="dxa" w:w="1514"/>
          </w:tcPr>
          <w:p>
            <w:pPr>
              <w:spacing w:before="20" w:after="20"/>
            </w:pPr>
            <w:r/>
            <w:r>
              <w:rPr>
                <w:rFonts w:ascii="Verdana" w:hAnsi="Verdana"/>
                <w:b w:val="0"/>
                <w:sz w:val="16"/>
              </w:rPr>
              <w:t>Rayon effectif pour les vitesses de vent supérieures à la valeur seuil (tempêtes étendues)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0 19 010</w:t>
            </w:r>
          </w:p>
        </w:tc>
        <w:tc>
          <w:tcPr>
            <w:tcW w:type="dxa" w:w="1514"/>
          </w:tcPr>
          <w:p>
            <w:pPr>
              <w:spacing w:before="20" w:after="20"/>
            </w:pPr>
            <w:r/>
            <w:r>
              <w:rPr>
                <w:rFonts w:ascii="Verdana" w:hAnsi="Verdana"/>
                <w:b w:val="0"/>
                <w:sz w:val="16"/>
              </w:rPr>
              <w:t>Méthode d'obtention du centre de la caractéristique synoptique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0 19 100</w:t>
            </w:r>
          </w:p>
        </w:tc>
        <w:tc>
          <w:tcPr>
            <w:tcW w:type="dxa" w:w="1514"/>
          </w:tcPr>
          <w:p>
            <w:pPr>
              <w:spacing w:before="20" w:after="20"/>
            </w:pPr>
            <w:r/>
            <w:r>
              <w:rPr>
                <w:rFonts w:ascii="Verdana" w:hAnsi="Verdana"/>
                <w:b w:val="0"/>
                <w:sz w:val="16"/>
              </w:rPr>
              <w:t>Période pour laquelle a été calculé le déplacement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0 19 101</w:t>
            </w:r>
          </w:p>
        </w:tc>
        <w:tc>
          <w:tcPr>
            <w:tcW w:type="dxa" w:w="1514"/>
          </w:tcPr>
          <w:p>
            <w:pPr>
              <w:spacing w:before="20" w:after="20"/>
            </w:pPr>
            <w:r/>
            <w:r>
              <w:rPr>
                <w:rFonts w:ascii="Verdana" w:hAnsi="Verdana"/>
                <w:b w:val="0"/>
                <w:sz w:val="16"/>
              </w:rPr>
              <w:t>Précision de la position du centre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0 19 102</w:t>
            </w:r>
          </w:p>
        </w:tc>
        <w:tc>
          <w:tcPr>
            <w:tcW w:type="dxa" w:w="1514"/>
          </w:tcPr>
          <w:p>
            <w:pPr>
              <w:spacing w:before="20" w:after="20"/>
            </w:pPr>
            <w:r/>
            <w:r>
              <w:rPr>
                <w:rFonts w:ascii="Verdana" w:hAnsi="Verdana"/>
                <w:b w:val="0"/>
                <w:sz w:val="16"/>
              </w:rPr>
              <w:t>Configuration et définition de l'œil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0 19 103</w:t>
            </w:r>
          </w:p>
        </w:tc>
        <w:tc>
          <w:tcPr>
            <w:tcW w:type="dxa" w:w="1514"/>
          </w:tcPr>
          <w:p>
            <w:pPr>
              <w:spacing w:before="20" w:after="20"/>
            </w:pPr>
            <w:r/>
            <w:r>
              <w:rPr>
                <w:rFonts w:ascii="Verdana" w:hAnsi="Verdana"/>
                <w:b w:val="0"/>
                <w:sz w:val="16"/>
              </w:rPr>
              <w:t>Diamètre ou longueur de l'axe principal de l'œil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0 19 104</w:t>
            </w:r>
          </w:p>
        </w:tc>
        <w:tc>
          <w:tcPr>
            <w:tcW w:type="dxa" w:w="1514"/>
          </w:tcPr>
          <w:p>
            <w:pPr>
              <w:spacing w:before="20" w:after="20"/>
            </w:pPr>
            <w:r/>
            <w:r>
              <w:rPr>
                <w:rFonts w:ascii="Verdana" w:hAnsi="Verdana"/>
                <w:b w:val="0"/>
                <w:sz w:val="16"/>
              </w:rPr>
              <w:t>Évolution du caractère de l'œil durant les 30 minutes précédentes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0 19 105</w:t>
            </w:r>
          </w:p>
        </w:tc>
        <w:tc>
          <w:tcPr>
            <w:tcW w:type="dxa" w:w="1514"/>
          </w:tcPr>
          <w:p>
            <w:pPr>
              <w:spacing w:before="20" w:after="20"/>
            </w:pPr>
            <w:r/>
            <w:r>
              <w:rPr>
                <w:rFonts w:ascii="Verdana" w:hAnsi="Verdana"/>
                <w:b w:val="0"/>
                <w:sz w:val="16"/>
              </w:rPr>
              <w:t>Distance entre l'extrémité de la bande en spirale et le centre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0 19 106</w:t>
            </w:r>
          </w:p>
        </w:tc>
        <w:tc>
          <w:tcPr>
            <w:tcW w:type="dxa" w:w="1514"/>
          </w:tcPr>
          <w:p>
            <w:pPr>
              <w:spacing w:before="20" w:after="20"/>
            </w:pPr>
            <w:r/>
            <w:r>
              <w:rPr>
                <w:rFonts w:ascii="Verdana" w:hAnsi="Verdana"/>
                <w:b w:val="0"/>
                <w:sz w:val="16"/>
              </w:rPr>
              <w:t>Numéro d'identification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0 19 107</w:t>
            </w:r>
          </w:p>
        </w:tc>
        <w:tc>
          <w:tcPr>
            <w:tcW w:type="dxa" w:w="1514"/>
          </w:tcPr>
          <w:p>
            <w:pPr>
              <w:spacing w:before="20" w:after="20"/>
            </w:pPr>
            <w:r/>
            <w:r>
              <w:rPr>
                <w:rFonts w:ascii="Verdana" w:hAnsi="Verdana"/>
                <w:b w:val="0"/>
                <w:sz w:val="16"/>
              </w:rPr>
              <w:t>Période sur laquelle a été calculé le déplacement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0 19 108</w:t>
            </w:r>
          </w:p>
        </w:tc>
        <w:tc>
          <w:tcPr>
            <w:tcW w:type="dxa" w:w="1514"/>
          </w:tcPr>
          <w:p>
            <w:pPr>
              <w:spacing w:before="20" w:after="20"/>
            </w:pPr>
            <w:r/>
            <w:r>
              <w:rPr>
                <w:rFonts w:ascii="Verdana" w:hAnsi="Verdana"/>
                <w:b w:val="0"/>
                <w:sz w:val="16"/>
              </w:rPr>
              <w:t>Précision de la position géographique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0 19 109</w:t>
            </w:r>
          </w:p>
        </w:tc>
        <w:tc>
          <w:tcPr>
            <w:tcW w:type="dxa" w:w="1514"/>
          </w:tcPr>
          <w:p>
            <w:pPr>
              <w:spacing w:before="20" w:after="20"/>
            </w:pPr>
            <w:r/>
            <w:r>
              <w:rPr>
                <w:rFonts w:ascii="Verdana" w:hAnsi="Verdana"/>
                <w:b w:val="0"/>
                <w:sz w:val="16"/>
              </w:rPr>
              <w:t>Diamètre moyen de la couverture nuageuse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0 19 110</w:t>
            </w:r>
          </w:p>
        </w:tc>
        <w:tc>
          <w:tcPr>
            <w:tcW w:type="dxa" w:w="1514"/>
          </w:tcPr>
          <w:p>
            <w:pPr>
              <w:spacing w:before="20" w:after="20"/>
            </w:pPr>
            <w:r/>
            <w:r>
              <w:rPr>
                <w:rFonts w:ascii="Verdana" w:hAnsi="Verdana"/>
                <w:b w:val="0"/>
                <w:sz w:val="16"/>
              </w:rPr>
              <w:t>Variation apparente de l'intensité du cyclone tropical, à 24 heures d'intervalle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0 19 111</w:t>
            </w:r>
          </w:p>
        </w:tc>
        <w:tc>
          <w:tcPr>
            <w:tcW w:type="dxa" w:w="1514"/>
          </w:tcPr>
          <w:p>
            <w:pPr>
              <w:spacing w:before="20" w:after="20"/>
            </w:pPr>
            <w:r/>
            <w:r>
              <w:rPr>
                <w:rFonts w:ascii="Verdana" w:hAnsi="Verdana"/>
                <w:b w:val="0"/>
                <w:sz w:val="16"/>
              </w:rPr>
              <w:t>Nombre CI (intensité courante)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0 19 112</w:t>
            </w:r>
          </w:p>
        </w:tc>
        <w:tc>
          <w:tcPr>
            <w:tcW w:type="dxa" w:w="1514"/>
          </w:tcPr>
          <w:p>
            <w:pPr>
              <w:spacing w:before="20" w:after="20"/>
            </w:pPr>
            <w:r/>
            <w:r>
              <w:rPr>
                <w:rFonts w:ascii="Verdana" w:hAnsi="Verdana"/>
                <w:b w:val="0"/>
                <w:sz w:val="16"/>
              </w:rPr>
              <w:t>Nombre T (tropical) pour les données (DT) au sujet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0 19 113</w:t>
            </w:r>
          </w:p>
        </w:tc>
        <w:tc>
          <w:tcPr>
            <w:tcW w:type="dxa" w:w="1514"/>
          </w:tcPr>
          <w:p>
            <w:pPr>
              <w:spacing w:before="20" w:after="20"/>
            </w:pPr>
            <w:r/>
            <w:r>
              <w:rPr>
                <w:rFonts w:ascii="Verdana" w:hAnsi="Verdana"/>
                <w:b w:val="0"/>
                <w:sz w:val="16"/>
              </w:rPr>
              <w:t>Configuration nuageuse correspondant au nombre DT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0 19 114</w:t>
            </w:r>
          </w:p>
        </w:tc>
        <w:tc>
          <w:tcPr>
            <w:tcW w:type="dxa" w:w="1514"/>
          </w:tcPr>
          <w:p>
            <w:pPr>
              <w:spacing w:before="20" w:after="20"/>
            </w:pPr>
            <w:r/>
            <w:r>
              <w:rPr>
                <w:rFonts w:ascii="Verdana" w:hAnsi="Verdana"/>
                <w:b w:val="0"/>
                <w:sz w:val="16"/>
              </w:rPr>
              <w:t>Nombre T attendu du modèle (MET) pour le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0 19 115</w:t>
            </w:r>
          </w:p>
        </w:tc>
        <w:tc>
          <w:tcPr>
            <w:tcW w:type="dxa" w:w="1514"/>
          </w:tcPr>
          <w:p>
            <w:pPr>
              <w:spacing w:before="20" w:after="20"/>
            </w:pPr>
            <w:r/>
            <w:r>
              <w:rPr>
                <w:rFonts w:ascii="Verdana" w:hAnsi="Verdana"/>
                <w:b w:val="0"/>
                <w:sz w:val="16"/>
              </w:rPr>
              <w:t>Tendance sur les 24 heures précédentes (+: intensification, -: affaiblissement)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0 19 116</w:t>
            </w:r>
          </w:p>
        </w:tc>
        <w:tc>
          <w:tcPr>
            <w:tcW w:type="dxa" w:w="1514"/>
          </w:tcPr>
          <w:p>
            <w:pPr>
              <w:spacing w:before="20" w:after="20"/>
            </w:pPr>
            <w:r/>
            <w:r>
              <w:rPr>
                <w:rFonts w:ascii="Verdana" w:hAnsi="Verdana"/>
                <w:b w:val="0"/>
                <w:sz w:val="16"/>
              </w:rPr>
              <w:t>Nombre T de la configuration (PT)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0 19 117</w:t>
            </w:r>
          </w:p>
        </w:tc>
        <w:tc>
          <w:tcPr>
            <w:tcW w:type="dxa" w:w="1514"/>
          </w:tcPr>
          <w:p>
            <w:pPr>
              <w:spacing w:before="20" w:after="20"/>
            </w:pPr>
            <w:r/>
            <w:r>
              <w:rPr>
                <w:rFonts w:ascii="Verdana" w:hAnsi="Verdana"/>
                <w:b w:val="0"/>
                <w:sz w:val="16"/>
              </w:rPr>
              <w:t>Type d'image de nuages correspondant au nombre PT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0 19 118</w:t>
            </w:r>
          </w:p>
        </w:tc>
        <w:tc>
          <w:tcPr>
            <w:tcW w:type="dxa" w:w="1514"/>
          </w:tcPr>
          <w:p>
            <w:pPr>
              <w:spacing w:before="20" w:after="20"/>
            </w:pPr>
            <w:r/>
            <w:r>
              <w:rPr>
                <w:rFonts w:ascii="Verdana" w:hAnsi="Verdana"/>
                <w:b w:val="0"/>
                <w:sz w:val="16"/>
              </w:rPr>
              <w:t>Nombre T final pour le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0 19 119</w:t>
            </w:r>
          </w:p>
        </w:tc>
        <w:tc>
          <w:tcPr>
            <w:tcW w:type="dxa" w:w="1514"/>
          </w:tcPr>
          <w:p>
            <w:pPr>
              <w:spacing w:before="20" w:after="20"/>
            </w:pPr>
            <w:r/>
            <w:r>
              <w:rPr>
                <w:rFonts w:ascii="Verdana" w:hAnsi="Verdana"/>
                <w:b w:val="0"/>
                <w:sz w:val="16"/>
              </w:rPr>
              <w:t>Type du nombre T final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0 19 150</w:t>
            </w:r>
          </w:p>
        </w:tc>
        <w:tc>
          <w:tcPr>
            <w:tcW w:type="dxa" w:w="1514"/>
          </w:tcPr>
          <w:p>
            <w:pPr>
              <w:spacing w:before="20" w:after="20"/>
            </w:pPr>
            <w:r/>
            <w:r>
              <w:rPr>
                <w:rFonts w:ascii="Verdana" w:hAnsi="Verdana"/>
                <w:b w:val="0"/>
                <w:sz w:val="16"/>
              </w:rPr>
              <w:t>Nombre international commun des typhons (Comité des typhons)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