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21 : Données de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0 21 001</w:t>
            </w:r>
          </w:p>
        </w:tc>
        <w:tc>
          <w:tcPr>
            <w:tcW w:type="dxa" w:w="1514"/>
          </w:tcPr>
          <w:p>
            <w:pPr>
              <w:spacing w:before="20" w:after="20"/>
            </w:pPr>
            <w:r/>
            <w:r>
              <w:rPr>
                <w:rFonts w:ascii="Verdana" w:hAnsi="Verdana"/>
                <w:b w:val="0"/>
                <w:sz w:val="16"/>
              </w:rPr>
              <w:t>Réflectivité horizontale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0 21 002</w:t>
            </w:r>
          </w:p>
        </w:tc>
        <w:tc>
          <w:tcPr>
            <w:tcW w:type="dxa" w:w="1514"/>
          </w:tcPr>
          <w:p>
            <w:pPr>
              <w:spacing w:before="20" w:after="20"/>
            </w:pPr>
            <w:r/>
            <w:r>
              <w:rPr>
                <w:rFonts w:ascii="Verdana" w:hAnsi="Verdana"/>
                <w:b w:val="0"/>
                <w:sz w:val="16"/>
              </w:rPr>
              <w:t>Réflectivité verticale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0 21 003</w:t>
            </w:r>
          </w:p>
        </w:tc>
        <w:tc>
          <w:tcPr>
            <w:tcW w:type="dxa" w:w="1514"/>
          </w:tcPr>
          <w:p>
            <w:pPr>
              <w:spacing w:before="20" w:after="20"/>
            </w:pPr>
            <w:r/>
            <w:r>
              <w:rPr>
                <w:rFonts w:ascii="Verdana" w:hAnsi="Verdana"/>
                <w:b w:val="0"/>
                <w:sz w:val="16"/>
              </w:rPr>
              <w:t>Réflectivité différentielle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0 21 004</w:t>
            </w:r>
          </w:p>
        </w:tc>
        <w:tc>
          <w:tcPr>
            <w:tcW w:type="dxa" w:w="1514"/>
          </w:tcPr>
          <w:p>
            <w:pPr>
              <w:spacing w:before="20" w:after="20"/>
            </w:pPr>
            <w:r/>
            <w:r>
              <w:rPr>
                <w:rFonts w:ascii="Verdana" w:hAnsi="Verdana"/>
                <w:b w:val="0"/>
                <w:sz w:val="16"/>
              </w:rPr>
              <w:t>Réflectivité différentielle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-800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0 21 005</w:t>
            </w:r>
          </w:p>
        </w:tc>
        <w:tc>
          <w:tcPr>
            <w:tcW w:type="dxa" w:w="1514"/>
          </w:tcPr>
          <w:p>
            <w:pPr>
              <w:spacing w:before="20" w:after="20"/>
            </w:pPr>
            <w:r/>
            <w:r>
              <w:rPr>
                <w:rFonts w:ascii="Verdana" w:hAnsi="Verdana"/>
                <w:b w:val="0"/>
                <w:sz w:val="16"/>
              </w:rPr>
              <w:t>Rapport de dépolarisation rectiligne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-65</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0 21 006</w:t>
            </w:r>
          </w:p>
        </w:tc>
        <w:tc>
          <w:tcPr>
            <w:tcW w:type="dxa" w:w="1514"/>
          </w:tcPr>
          <w:p>
            <w:pPr>
              <w:spacing w:before="20" w:after="20"/>
            </w:pPr>
            <w:r/>
            <w:r>
              <w:rPr>
                <w:rFonts w:ascii="Verdana" w:hAnsi="Verdana"/>
                <w:b w:val="0"/>
                <w:sz w:val="16"/>
              </w:rPr>
              <w:t>Rapport de dépolarisation circulaire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-65</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0 21 011</w:t>
            </w:r>
          </w:p>
        </w:tc>
        <w:tc>
          <w:tcPr>
            <w:tcW w:type="dxa" w:w="1514"/>
          </w:tcPr>
          <w:p>
            <w:pPr>
              <w:spacing w:before="20" w:after="20"/>
            </w:pPr>
            <w:r/>
            <w:r>
              <w:rPr>
                <w:rFonts w:ascii="Verdana" w:hAnsi="Verdana"/>
                <w:b w:val="0"/>
                <w:sz w:val="16"/>
              </w:rPr>
              <w:t>Vitesse Doppler moyenne dans la direction x</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0 21 012</w:t>
            </w:r>
          </w:p>
        </w:tc>
        <w:tc>
          <w:tcPr>
            <w:tcW w:type="dxa" w:w="1514"/>
          </w:tcPr>
          <w:p>
            <w:pPr>
              <w:spacing w:before="20" w:after="20"/>
            </w:pPr>
            <w:r/>
            <w:r>
              <w:rPr>
                <w:rFonts w:ascii="Verdana" w:hAnsi="Verdana"/>
                <w:b w:val="0"/>
                <w:sz w:val="16"/>
              </w:rPr>
              <w:t>Vitesse Doppler moyenne dans la direction y</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0 21 013</w:t>
            </w:r>
          </w:p>
        </w:tc>
        <w:tc>
          <w:tcPr>
            <w:tcW w:type="dxa" w:w="1514"/>
          </w:tcPr>
          <w:p>
            <w:pPr>
              <w:spacing w:before="20" w:after="20"/>
            </w:pPr>
            <w:r/>
            <w:r>
              <w:rPr>
                <w:rFonts w:ascii="Verdana" w:hAnsi="Verdana"/>
                <w:b w:val="0"/>
                <w:sz w:val="16"/>
              </w:rPr>
              <w:t>Vitesse Doppler moyenne dans la direction z</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0 21 014</w:t>
            </w:r>
          </w:p>
        </w:tc>
        <w:tc>
          <w:tcPr>
            <w:tcW w:type="dxa" w:w="1514"/>
          </w:tcPr>
          <w:p>
            <w:pPr>
              <w:spacing w:before="20" w:after="20"/>
            </w:pPr>
            <w:r/>
            <w:r>
              <w:rPr>
                <w:rFonts w:ascii="Verdana" w:hAnsi="Verdana"/>
                <w:b w:val="0"/>
                <w:sz w:val="16"/>
              </w:rPr>
              <w:t>Vitesse Doppler moyenne (radiale)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0 21 017</w:t>
            </w:r>
          </w:p>
        </w:tc>
        <w:tc>
          <w:tcPr>
            <w:tcW w:type="dxa" w:w="1514"/>
          </w:tcPr>
          <w:p>
            <w:pPr>
              <w:spacing w:before="20" w:after="20"/>
            </w:pPr>
            <w:r/>
            <w:r>
              <w:rPr>
                <w:rFonts w:ascii="Verdana" w:hAnsi="Verdana"/>
                <w:b w:val="0"/>
                <w:sz w:val="16"/>
              </w:rPr>
              <w:t>Largeur spectrale de la vitesse Doppler</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0 21 018</w:t>
            </w:r>
          </w:p>
        </w:tc>
        <w:tc>
          <w:tcPr>
            <w:tcW w:type="dxa" w:w="1514"/>
          </w:tcPr>
          <w:p>
            <w:pPr>
              <w:spacing w:before="20" w:after="20"/>
            </w:pPr>
            <w:r/>
            <w:r>
              <w:rPr>
                <w:rFonts w:ascii="Verdana" w:hAnsi="Verdana"/>
                <w:b w:val="0"/>
                <w:sz w:val="16"/>
              </w:rPr>
              <w:t>Vitesse en dehors de l'intervalle de NYQUIST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0 21 019</w:t>
            </w:r>
          </w:p>
        </w:tc>
        <w:tc>
          <w:tcPr>
            <w:tcW w:type="dxa" w:w="1514"/>
          </w:tcPr>
          <w:p>
            <w:pPr>
              <w:spacing w:before="20" w:after="20"/>
            </w:pPr>
            <w:r/>
            <w:r>
              <w:rPr>
                <w:rFonts w:ascii="Verdana" w:hAnsi="Verdana"/>
                <w:b w:val="0"/>
                <w:sz w:val="16"/>
              </w:rPr>
              <w:t>Vitesse en haut de l'intervalle de NYQUIST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0 21 021</w:t>
            </w:r>
          </w:p>
        </w:tc>
        <w:tc>
          <w:tcPr>
            <w:tcW w:type="dxa" w:w="1514"/>
          </w:tcPr>
          <w:p>
            <w:pPr>
              <w:spacing w:before="20" w:after="20"/>
            </w:pPr>
            <w:r/>
            <w:r>
              <w:rPr>
                <w:rFonts w:ascii="Verdana" w:hAnsi="Verdana"/>
                <w:b w:val="0"/>
                <w:sz w:val="16"/>
              </w:rPr>
              <w:t>Altitude maximale des échos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0 21 022</w:t>
            </w:r>
          </w:p>
        </w:tc>
        <w:tc>
          <w:tcPr>
            <w:tcW w:type="dxa" w:w="1514"/>
          </w:tcPr>
          <w:p>
            <w:pPr>
              <w:spacing w:before="20" w:after="20"/>
            </w:pPr>
            <w:r/>
            <w:r>
              <w:rPr>
                <w:rFonts w:ascii="Verdana" w:hAnsi="Verdana"/>
                <w:b w:val="0"/>
                <w:sz w:val="16"/>
              </w:rPr>
              <w:t>Décalage des cellules de distance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0 21 023</w:t>
            </w:r>
          </w:p>
        </w:tc>
        <w:tc>
          <w:tcPr>
            <w:tcW w:type="dxa" w:w="1514"/>
          </w:tcPr>
          <w:p>
            <w:pPr>
              <w:spacing w:before="20" w:after="20"/>
            </w:pPr>
            <w:r/>
            <w:r>
              <w:rPr>
                <w:rFonts w:ascii="Verdana" w:hAnsi="Verdana"/>
                <w:b w:val="0"/>
                <w:sz w:val="16"/>
              </w:rPr>
              <w:t>Taille des cellules de distance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0 21 024</w:t>
            </w:r>
          </w:p>
        </w:tc>
        <w:tc>
          <w:tcPr>
            <w:tcW w:type="dxa" w:w="1514"/>
          </w:tcPr>
          <w:p>
            <w:pPr>
              <w:spacing w:before="20" w:after="20"/>
            </w:pPr>
            <w:r/>
            <w:r>
              <w:rPr>
                <w:rFonts w:ascii="Verdana" w:hAnsi="Verdana"/>
                <w:b w:val="0"/>
                <w:sz w:val="16"/>
              </w:rPr>
              <w:t>Décalage d'azimut</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0 21 025</w:t>
            </w:r>
          </w:p>
        </w:tc>
        <w:tc>
          <w:tcPr>
            <w:tcW w:type="dxa" w:w="1514"/>
          </w:tcPr>
          <w:p>
            <w:pPr>
              <w:spacing w:before="20" w:after="20"/>
            </w:pPr>
            <w:r/>
            <w:r>
              <w:rPr>
                <w:rFonts w:ascii="Verdana" w:hAnsi="Verdana"/>
                <w:b w:val="0"/>
                <w:sz w:val="16"/>
              </w:rPr>
              <w:t>Résolution azimutale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0 21 028</w:t>
            </w:r>
          </w:p>
        </w:tc>
        <w:tc>
          <w:tcPr>
            <w:tcW w:type="dxa" w:w="1514"/>
          </w:tcPr>
          <w:p>
            <w:pPr>
              <w:spacing w:before="20" w:after="20"/>
            </w:pPr>
            <w:r/>
            <w:r>
              <w:rPr>
                <w:rFonts w:ascii="Verdana" w:hAnsi="Verdana"/>
                <w:b w:val="0"/>
                <w:sz w:val="16"/>
              </w:rPr>
              <w:t>Phase différentielle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0 21 029</w:t>
            </w:r>
          </w:p>
        </w:tc>
        <w:tc>
          <w:tcPr>
            <w:tcW w:type="dxa" w:w="1514"/>
          </w:tcPr>
          <w:p>
            <w:pPr>
              <w:spacing w:before="20" w:after="20"/>
            </w:pPr>
            <w:r/>
            <w:r>
              <w:rPr>
                <w:rFonts w:ascii="Verdana" w:hAnsi="Verdana"/>
                <w:b w:val="0"/>
                <w:sz w:val="16"/>
              </w:rPr>
              <w:t>Coefficient de corrélation de polarisation croisée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0 21 030</w:t>
            </w:r>
          </w:p>
        </w:tc>
        <w:tc>
          <w:tcPr>
            <w:tcW w:type="dxa" w:w="1514"/>
          </w:tcPr>
          <w:p>
            <w:pPr>
              <w:spacing w:before="20" w:after="20"/>
            </w:pPr>
            <w:r/>
            <w:r>
              <w:rPr>
                <w:rFonts w:ascii="Verdana" w:hAnsi="Verdana"/>
                <w:b w:val="0"/>
                <w:sz w:val="16"/>
              </w:rPr>
              <w:t>Rapport signal-bruit</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0 21 031</w:t>
            </w:r>
          </w:p>
        </w:tc>
        <w:tc>
          <w:tcPr>
            <w:tcW w:type="dxa" w:w="1514"/>
          </w:tcPr>
          <w:p>
            <w:pPr>
              <w:spacing w:before="20" w:after="20"/>
            </w:pPr>
            <w:r/>
            <w:r>
              <w:rPr>
                <w:rFonts w:ascii="Verdana" w:hAnsi="Verdana"/>
                <w:b w:val="0"/>
                <w:sz w:val="16"/>
              </w:rPr>
              <w:t>Contenu en eau liquide, intégré verticalement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0 21 036</w:t>
            </w:r>
          </w:p>
        </w:tc>
        <w:tc>
          <w:tcPr>
            <w:tcW w:type="dxa" w:w="1514"/>
          </w:tcPr>
          <w:p>
            <w:pPr>
              <w:spacing w:before="20" w:after="20"/>
            </w:pPr>
            <w:r/>
            <w:r>
              <w:rPr>
                <w:rFonts w:ascii="Verdana" w:hAnsi="Verdana"/>
                <w:b w:val="0"/>
                <w:sz w:val="16"/>
              </w:rPr>
              <w:t>Intensité des précipitations mesurée par radar</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0 21 041</w:t>
            </w:r>
          </w:p>
        </w:tc>
        <w:tc>
          <w:tcPr>
            <w:tcW w:type="dxa" w:w="1514"/>
          </w:tcPr>
          <w:p>
            <w:pPr>
              <w:spacing w:before="20" w:after="20"/>
            </w:pPr>
            <w:r/>
            <w:r>
              <w:rPr>
                <w:rFonts w:ascii="Verdana" w:hAnsi="Verdana"/>
                <w:b w:val="0"/>
                <w:sz w:val="16"/>
              </w:rPr>
              <w:t>Hauteur de la bande brillante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0 21 051</w:t>
            </w:r>
          </w:p>
        </w:tc>
        <w:tc>
          <w:tcPr>
            <w:tcW w:type="dxa" w:w="1514"/>
          </w:tcPr>
          <w:p>
            <w:pPr>
              <w:spacing w:before="20" w:after="20"/>
            </w:pPr>
            <w:r/>
            <w:r>
              <w:rPr>
                <w:rFonts w:ascii="Verdana" w:hAnsi="Verdana"/>
                <w:b w:val="0"/>
                <w:sz w:val="16"/>
              </w:rPr>
              <w:t>Puissance du signal supérieure à 1 mW</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0 21 062</w:t>
            </w:r>
          </w:p>
        </w:tc>
        <w:tc>
          <w:tcPr>
            <w:tcW w:type="dxa" w:w="1514"/>
          </w:tcPr>
          <w:p>
            <w:pPr>
              <w:spacing w:before="20" w:after="20"/>
            </w:pPr>
            <w:r/>
            <w:r>
              <w:rPr>
                <w:rFonts w:ascii="Verdana" w:hAnsi="Verdana"/>
                <w:b w:val="0"/>
                <w:sz w:val="16"/>
              </w:rPr>
              <w:t>Rétrodiffusion</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0 21 063</w:t>
            </w:r>
          </w:p>
        </w:tc>
        <w:tc>
          <w:tcPr>
            <w:tcW w:type="dxa" w:w="1514"/>
          </w:tcPr>
          <w:p>
            <w:pPr>
              <w:spacing w:before="20" w:after="20"/>
            </w:pPr>
            <w:r/>
            <w:r>
              <w:rPr>
                <w:rFonts w:ascii="Verdana" w:hAnsi="Verdana"/>
                <w:b w:val="0"/>
                <w:sz w:val="16"/>
              </w:rPr>
              <w:t>Résolution radiométrique (valeur de bruit)</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0 21 064</w:t>
            </w:r>
          </w:p>
        </w:tc>
        <w:tc>
          <w:tcPr>
            <w:tcW w:type="dxa" w:w="1514"/>
          </w:tcPr>
          <w:p>
            <w:pPr>
              <w:spacing w:before="20" w:after="20"/>
            </w:pPr>
            <w:r/>
            <w:r>
              <w:rPr>
                <w:rFonts w:ascii="Verdana" w:hAnsi="Verdana"/>
                <w:b w:val="0"/>
                <w:sz w:val="16"/>
              </w:rPr>
              <w:t>Estimation des bruits parasites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0 21 065</w:t>
            </w:r>
          </w:p>
        </w:tc>
        <w:tc>
          <w:tcPr>
            <w:tcW w:type="dxa" w:w="1514"/>
          </w:tcPr>
          <w:p>
            <w:pPr>
              <w:spacing w:before="20" w:after="20"/>
            </w:pPr>
            <w:r/>
            <w:r>
              <w:rPr>
                <w:rFonts w:ascii="Verdana" w:hAnsi="Verdana"/>
                <w:b w:val="0"/>
                <w:sz w:val="16"/>
              </w:rPr>
              <w:t>Totalisateur de paquets manquants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-127</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0 21 066</w:t>
            </w:r>
          </w:p>
        </w:tc>
        <w:tc>
          <w:tcPr>
            <w:tcW w:type="dxa" w:w="1514"/>
          </w:tcPr>
          <w:p>
            <w:pPr>
              <w:spacing w:before="20" w:after="20"/>
            </w:pPr>
            <w:r/>
            <w:r>
              <w:rPr>
                <w:rFonts w:ascii="Verdana" w:hAnsi="Verdana"/>
                <w:b w:val="0"/>
                <w:sz w:val="16"/>
              </w:rPr>
              <w:t>Données sur le degré de confiance du produit SAR mode vague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0 21 067</w:t>
            </w:r>
          </w:p>
        </w:tc>
        <w:tc>
          <w:tcPr>
            <w:tcW w:type="dxa" w:w="1514"/>
          </w:tcPr>
          <w:p>
            <w:pPr>
              <w:spacing w:before="20" w:after="20"/>
            </w:pPr>
            <w:r/>
            <w:r>
              <w:rPr>
                <w:rFonts w:ascii="Verdana" w:hAnsi="Verdana"/>
                <w:b w:val="0"/>
                <w:sz w:val="16"/>
              </w:rPr>
              <w:t>Données sur le degré de confiance du produit concernant le vent</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0 21 068</w:t>
            </w:r>
          </w:p>
        </w:tc>
        <w:tc>
          <w:tcPr>
            <w:tcW w:type="dxa" w:w="1514"/>
          </w:tcPr>
          <w:p>
            <w:pPr>
              <w:spacing w:before="20" w:after="20"/>
            </w:pPr>
            <w:r/>
            <w:r>
              <w:rPr>
                <w:rFonts w:ascii="Verdana" w:hAnsi="Verdana"/>
                <w:b w:val="0"/>
                <w:sz w:val="16"/>
              </w:rPr>
              <w:t>Données sur le degré de confiance du produit du radioaltimètre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0 21 069</w:t>
            </w:r>
          </w:p>
        </w:tc>
        <w:tc>
          <w:tcPr>
            <w:tcW w:type="dxa" w:w="1514"/>
          </w:tcPr>
          <w:p>
            <w:pPr>
              <w:spacing w:before="20" w:after="20"/>
            </w:pPr>
            <w:r/>
            <w:r>
              <w:rPr>
                <w:rFonts w:ascii="Verdana" w:hAnsi="Verdana"/>
                <w:b w:val="0"/>
                <w:sz w:val="16"/>
              </w:rPr>
              <w:t>Données sur le degré de confiance du produit concernant la température de la mer en surface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0 21 070</w:t>
            </w:r>
          </w:p>
        </w:tc>
        <w:tc>
          <w:tcPr>
            <w:tcW w:type="dxa" w:w="1514"/>
          </w:tcPr>
          <w:p>
            <w:pPr>
              <w:spacing w:before="20" w:after="20"/>
            </w:pPr>
            <w:r/>
            <w:r>
              <w:rPr>
                <w:rFonts w:ascii="Verdana" w:hAnsi="Verdana"/>
                <w:b w:val="0"/>
                <w:sz w:val="16"/>
              </w:rPr>
              <w:t>Données sur le degré de confiance du produit concernant la température de surface de la mer (SADIST-2)</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0 21 071</w:t>
            </w:r>
          </w:p>
        </w:tc>
        <w:tc>
          <w:tcPr>
            <w:tcW w:type="dxa" w:w="1514"/>
          </w:tcPr>
          <w:p>
            <w:pPr>
              <w:spacing w:before="20" w:after="20"/>
            </w:pPr>
            <w:r/>
            <w:r>
              <w:rPr>
                <w:rFonts w:ascii="Verdana" w:hAnsi="Verdana"/>
                <w:b w:val="0"/>
                <w:sz w:val="16"/>
              </w:rPr>
              <w:t>Maxima</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0 21 072</w:t>
            </w:r>
          </w:p>
        </w:tc>
        <w:tc>
          <w:tcPr>
            <w:tcW w:type="dxa" w:w="1514"/>
          </w:tcPr>
          <w:p>
            <w:pPr>
              <w:spacing w:before="20" w:after="20"/>
            </w:pPr>
            <w:r/>
            <w:r>
              <w:rPr>
                <w:rFonts w:ascii="Verdana" w:hAnsi="Verdana"/>
                <w:b w:val="0"/>
                <w:sz w:val="16"/>
              </w:rPr>
              <w:t>État d'étalonnage de l'altimètre sur satellite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0 21 073</w:t>
            </w:r>
          </w:p>
        </w:tc>
        <w:tc>
          <w:tcPr>
            <w:tcW w:type="dxa" w:w="1514"/>
          </w:tcPr>
          <w:p>
            <w:pPr>
              <w:spacing w:before="20" w:after="20"/>
            </w:pPr>
            <w:r/>
            <w:r>
              <w:rPr>
                <w:rFonts w:ascii="Verdana" w:hAnsi="Verdana"/>
                <w:b w:val="0"/>
                <w:sz w:val="16"/>
              </w:rPr>
              <w:t>Mode de l'altimètre sur satellite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0 21 075</w:t>
            </w:r>
          </w:p>
        </w:tc>
        <w:tc>
          <w:tcPr>
            <w:tcW w:type="dxa" w:w="1514"/>
          </w:tcPr>
          <w:p>
            <w:pPr>
              <w:spacing w:before="20" w:after="20"/>
            </w:pPr>
            <w:r/>
            <w:r>
              <w:rPr>
                <w:rFonts w:ascii="Verdana" w:hAnsi="Verdana"/>
                <w:b w:val="0"/>
                <w:sz w:val="16"/>
              </w:rPr>
              <w:t>Intensité spectrale de l'image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0 21 076</w:t>
            </w:r>
          </w:p>
        </w:tc>
        <w:tc>
          <w:tcPr>
            <w:tcW w:type="dxa" w:w="1514"/>
          </w:tcPr>
          <w:p>
            <w:pPr>
              <w:spacing w:before="20" w:after="20"/>
            </w:pPr>
            <w:r/>
            <w:r>
              <w:rPr>
                <w:rFonts w:ascii="Verdana" w:hAnsi="Verdana"/>
                <w:b w:val="0"/>
                <w:sz w:val="16"/>
              </w:rPr>
              <w:t>Représentation des intensités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0 21 077</w:t>
            </w:r>
          </w:p>
        </w:tc>
        <w:tc>
          <w:tcPr>
            <w:tcW w:type="dxa" w:w="1514"/>
          </w:tcPr>
          <w:p>
            <w:pPr>
              <w:spacing w:before="20" w:after="20"/>
            </w:pPr>
            <w:r/>
            <w:r>
              <w:rPr>
                <w:rFonts w:ascii="Verdana" w:hAnsi="Verdana"/>
                <w:b w:val="0"/>
                <w:sz w:val="16"/>
              </w:rPr>
              <w:t>Correction d'altitude (ionosphère)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0 21 078</w:t>
            </w:r>
          </w:p>
        </w:tc>
        <w:tc>
          <w:tcPr>
            <w:tcW w:type="dxa" w:w="1514"/>
          </w:tcPr>
          <w:p>
            <w:pPr>
              <w:spacing w:before="20" w:after="20"/>
            </w:pPr>
            <w:r/>
            <w:r>
              <w:rPr>
                <w:rFonts w:ascii="Verdana" w:hAnsi="Verdana"/>
                <w:b w:val="0"/>
                <w:sz w:val="16"/>
              </w:rPr>
              <w:t>Correction d'altitude (troposphère sèche)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0 21 079</w:t>
            </w:r>
          </w:p>
        </w:tc>
        <w:tc>
          <w:tcPr>
            <w:tcW w:type="dxa" w:w="1514"/>
          </w:tcPr>
          <w:p>
            <w:pPr>
              <w:spacing w:before="20" w:after="20"/>
            </w:pPr>
            <w:r/>
            <w:r>
              <w:rPr>
                <w:rFonts w:ascii="Verdana" w:hAnsi="Verdana"/>
                <w:b w:val="0"/>
                <w:sz w:val="16"/>
              </w:rPr>
              <w:t>Correction d'altitude (troposphère humide)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0 21 080</w:t>
            </w:r>
          </w:p>
        </w:tc>
        <w:tc>
          <w:tcPr>
            <w:tcW w:type="dxa" w:w="1514"/>
          </w:tcPr>
          <w:p>
            <w:pPr>
              <w:spacing w:before="20" w:after="20"/>
            </w:pPr>
            <w:r/>
            <w:r>
              <w:rPr>
                <w:rFonts w:ascii="Verdana" w:hAnsi="Verdana"/>
                <w:b w:val="0"/>
                <w:sz w:val="16"/>
              </w:rPr>
              <w:t>Correction d'altitude (constance d'étalonnage)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0 21 081</w:t>
            </w:r>
          </w:p>
        </w:tc>
        <w:tc>
          <w:tcPr>
            <w:tcW w:type="dxa" w:w="1514"/>
          </w:tcPr>
          <w:p>
            <w:pPr>
              <w:spacing w:before="20" w:after="20"/>
            </w:pPr>
            <w:r/>
            <w:r>
              <w:rPr>
                <w:rFonts w:ascii="Verdana" w:hAnsi="Verdana"/>
                <w:b w:val="0"/>
                <w:sz w:val="16"/>
              </w:rPr>
              <w:t>Correction de boucle ouverte (boucle hauteur-temps)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0 21 082</w:t>
            </w:r>
          </w:p>
        </w:tc>
        <w:tc>
          <w:tcPr>
            <w:tcW w:type="dxa" w:w="1514"/>
          </w:tcPr>
          <w:p>
            <w:pPr>
              <w:spacing w:before="20" w:after="20"/>
            </w:pPr>
            <w:r/>
            <w:r>
              <w:rPr>
                <w:rFonts w:ascii="Verdana" w:hAnsi="Verdana"/>
                <w:b w:val="0"/>
                <w:sz w:val="16"/>
              </w:rPr>
              <w:t>Correction de boucle ouverte (contrôle de gain automatique)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0 21 083</w:t>
            </w:r>
          </w:p>
        </w:tc>
        <w:tc>
          <w:tcPr>
            <w:tcW w:type="dxa" w:w="1514"/>
          </w:tcPr>
          <w:p>
            <w:pPr>
              <w:spacing w:before="20" w:after="20"/>
            </w:pPr>
            <w:r/>
            <w:r>
              <w:rPr>
                <w:rFonts w:ascii="Verdana" w:hAnsi="Verdana"/>
                <w:b w:val="0"/>
                <w:sz w:val="16"/>
              </w:rPr>
              <w:t>Étalonnage - cible chaude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0 21 084</w:t>
            </w:r>
          </w:p>
        </w:tc>
        <w:tc>
          <w:tcPr>
            <w:tcW w:type="dxa" w:w="1514"/>
          </w:tcPr>
          <w:p>
            <w:pPr>
              <w:spacing w:before="20" w:after="20"/>
            </w:pPr>
            <w:r/>
            <w:r>
              <w:rPr>
                <w:rFonts w:ascii="Verdana" w:hAnsi="Verdana"/>
                <w:b w:val="0"/>
                <w:sz w:val="16"/>
              </w:rPr>
              <w:t>Étalonnage - cible froide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0 21 085</w:t>
            </w:r>
          </w:p>
        </w:tc>
        <w:tc>
          <w:tcPr>
            <w:tcW w:type="dxa" w:w="1514"/>
          </w:tcPr>
          <w:p>
            <w:pPr>
              <w:spacing w:before="20" w:after="20"/>
            </w:pPr>
            <w:r/>
            <w:r>
              <w:rPr>
                <w:rFonts w:ascii="Verdana" w:hAnsi="Verdana"/>
                <w:b w:val="0"/>
                <w:sz w:val="16"/>
              </w:rPr>
              <w:t>Nombre de bandes transversales de mesure de la température de la mer en surface par ATSR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0 21 086</w:t>
            </w:r>
          </w:p>
        </w:tc>
        <w:tc>
          <w:tcPr>
            <w:tcW w:type="dxa" w:w="1514"/>
          </w:tcPr>
          <w:p>
            <w:pPr>
              <w:spacing w:before="20" w:after="20"/>
            </w:pPr>
            <w:r/>
            <w:r>
              <w:rPr>
                <w:rFonts w:ascii="Verdana" w:hAnsi="Verdana"/>
                <w:b w:val="0"/>
                <w:sz w:val="16"/>
              </w:rPr>
              <w:t>Nombre moyen de pixels au nadir uniquement</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0 21 087</w:t>
            </w:r>
          </w:p>
        </w:tc>
        <w:tc>
          <w:tcPr>
            <w:tcW w:type="dxa" w:w="1514"/>
          </w:tcPr>
          <w:p>
            <w:pPr>
              <w:spacing w:before="20" w:after="20"/>
            </w:pPr>
            <w:r/>
            <w:r>
              <w:rPr>
                <w:rFonts w:ascii="Verdana" w:hAnsi="Verdana"/>
                <w:b w:val="0"/>
                <w:sz w:val="16"/>
              </w:rPr>
              <w:t>Nombre moyen de pixels en double visée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0 21 088</w:t>
            </w:r>
          </w:p>
        </w:tc>
        <w:tc>
          <w:tcPr>
            <w:tcW w:type="dxa" w:w="1514"/>
          </w:tcPr>
          <w:p>
            <w:pPr>
              <w:spacing w:before="20" w:after="20"/>
            </w:pPr>
            <w:r/>
            <w:r>
              <w:rPr>
                <w:rFonts w:ascii="Verdana" w:hAnsi="Verdana"/>
                <w:b w:val="0"/>
                <w:sz w:val="16"/>
              </w:rPr>
              <w:t>Rétrodiffusion, conditions humides</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0 21 091</w:t>
            </w:r>
          </w:p>
        </w:tc>
        <w:tc>
          <w:tcPr>
            <w:tcW w:type="dxa" w:w="1514"/>
          </w:tcPr>
          <w:p>
            <w:pPr>
              <w:spacing w:before="20" w:after="20"/>
            </w:pPr>
            <w:r/>
            <w:r>
              <w:rPr>
                <w:rFonts w:ascii="Verdana" w:hAnsi="Verdana"/>
                <w:b w:val="0"/>
                <w:sz w:val="16"/>
              </w:rPr>
              <w:t>0ième moment du spectre Doppler du signal radar</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0 21 092</w:t>
            </w:r>
          </w:p>
        </w:tc>
        <w:tc>
          <w:tcPr>
            <w:tcW w:type="dxa" w:w="1514"/>
          </w:tcPr>
          <w:p>
            <w:pPr>
              <w:spacing w:before="20" w:after="20"/>
            </w:pPr>
            <w:r/>
            <w:r>
              <w:rPr>
                <w:rFonts w:ascii="Verdana" w:hAnsi="Verdana"/>
                <w:b w:val="0"/>
                <w:sz w:val="16"/>
              </w:rPr>
              <w:t>0ième moment du spectre Doppler du signal RASS (Système de sondage radio-acoustique)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0 21 093</w:t>
            </w:r>
          </w:p>
        </w:tc>
        <w:tc>
          <w:tcPr>
            <w:tcW w:type="dxa" w:w="1514"/>
          </w:tcPr>
          <w:p>
            <w:pPr>
              <w:spacing w:before="20" w:after="20"/>
            </w:pPr>
            <w:r/>
            <w:r>
              <w:rPr>
                <w:rFonts w:ascii="Verdana" w:hAnsi="Verdana"/>
                <w:b w:val="0"/>
                <w:sz w:val="16"/>
              </w:rPr>
              <w:t>Maxima bande Ku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0 21 094</w:t>
            </w:r>
          </w:p>
        </w:tc>
        <w:tc>
          <w:tcPr>
            <w:tcW w:type="dxa" w:w="1514"/>
          </w:tcPr>
          <w:p>
            <w:pPr>
              <w:spacing w:before="20" w:after="20"/>
            </w:pPr>
            <w:r/>
            <w:r>
              <w:rPr>
                <w:rFonts w:ascii="Verdana" w:hAnsi="Verdana"/>
                <w:b w:val="0"/>
                <w:sz w:val="16"/>
              </w:rPr>
              <w:t>Maxima bande 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0 21 101</w:t>
            </w:r>
          </w:p>
        </w:tc>
        <w:tc>
          <w:tcPr>
            <w:tcW w:type="dxa" w:w="1514"/>
          </w:tcPr>
          <w:p>
            <w:pPr>
              <w:spacing w:before="20" w:after="20"/>
            </w:pPr>
            <w:r/>
            <w:r>
              <w:rPr>
                <w:rFonts w:ascii="Verdana" w:hAnsi="Verdana"/>
                <w:b w:val="0"/>
                <w:sz w:val="16"/>
              </w:rPr>
              <w:t>Nombre d'ambiguïtés vectorielles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0 21 102</w:t>
            </w:r>
          </w:p>
        </w:tc>
        <w:tc>
          <w:tcPr>
            <w:tcW w:type="dxa" w:w="1514"/>
          </w:tcPr>
          <w:p>
            <w:pPr>
              <w:spacing w:before="20" w:after="20"/>
            </w:pPr>
            <w:r/>
            <w:r>
              <w:rPr>
                <w:rFonts w:ascii="Verdana" w:hAnsi="Verdana"/>
                <w:b w:val="0"/>
                <w:sz w:val="16"/>
              </w:rPr>
              <w:t>Indice du vecteur vent retenu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0 21 103</w:t>
            </w:r>
          </w:p>
        </w:tc>
        <w:tc>
          <w:tcPr>
            <w:tcW w:type="dxa" w:w="1514"/>
          </w:tcPr>
          <w:p>
            <w:pPr>
              <w:spacing w:before="20" w:after="20"/>
            </w:pPr>
            <w:r/>
            <w:r>
              <w:rPr>
                <w:rFonts w:ascii="Verdana" w:hAnsi="Verdana"/>
                <w:b w:val="0"/>
                <w:sz w:val="16"/>
              </w:rPr>
              <w:t>Nombre total de mesures de sigma-0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0 21 104</w:t>
            </w:r>
          </w:p>
        </w:tc>
        <w:tc>
          <w:tcPr>
            <w:tcW w:type="dxa" w:w="1514"/>
          </w:tcPr>
          <w:p>
            <w:pPr>
              <w:spacing w:before="20" w:after="20"/>
            </w:pPr>
            <w:r/>
            <w:r>
              <w:rPr>
                <w:rFonts w:ascii="Verdana" w:hAnsi="Verdana"/>
                <w:b w:val="0"/>
                <w:sz w:val="16"/>
              </w:rPr>
              <w:t>Vraisemblance calculée pour la solution obtenue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0 21 105</w:t>
            </w:r>
          </w:p>
        </w:tc>
        <w:tc>
          <w:tcPr>
            <w:tcW w:type="dxa" w:w="1514"/>
          </w:tcPr>
          <w:p>
            <w:pPr>
              <w:spacing w:before="20" w:after="20"/>
            </w:pPr>
            <w:r/>
            <w:r>
              <w:rPr>
                <w:rFonts w:ascii="Verdana" w:hAnsi="Verdana"/>
                <w:b w:val="0"/>
                <w:sz w:val="16"/>
              </w:rPr>
              <w:t>Surface équivalente radar normalisée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0 21 106</w:t>
            </w:r>
          </w:p>
        </w:tc>
        <w:tc>
          <w:tcPr>
            <w:tcW w:type="dxa" w:w="1514"/>
          </w:tcPr>
          <w:p>
            <w:pPr>
              <w:spacing w:before="20" w:after="20"/>
            </w:pPr>
            <w:r/>
            <w:r>
              <w:rPr>
                <w:rFonts w:ascii="Verdana" w:hAnsi="Verdana"/>
                <w:b w:val="0"/>
                <w:sz w:val="16"/>
              </w:rPr>
              <w:t>Coefficient de variance Kp (alpha)</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0 21 107</w:t>
            </w:r>
          </w:p>
        </w:tc>
        <w:tc>
          <w:tcPr>
            <w:tcW w:type="dxa" w:w="1514"/>
          </w:tcPr>
          <w:p>
            <w:pPr>
              <w:spacing w:before="20" w:after="20"/>
            </w:pPr>
            <w:r/>
            <w:r>
              <w:rPr>
                <w:rFonts w:ascii="Verdana" w:hAnsi="Verdana"/>
                <w:b w:val="0"/>
                <w:sz w:val="16"/>
              </w:rPr>
              <w:t>Coefficient de variance Kp (bêta)</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0 21 109</w:t>
            </w:r>
          </w:p>
        </w:tc>
        <w:tc>
          <w:tcPr>
            <w:tcW w:type="dxa" w:w="1514"/>
          </w:tcPr>
          <w:p>
            <w:pPr>
              <w:spacing w:before="20" w:after="20"/>
            </w:pPr>
            <w:r/>
            <w:r>
              <w:rPr>
                <w:rFonts w:ascii="Verdana" w:hAnsi="Verdana"/>
                <w:b w:val="0"/>
                <w:sz w:val="16"/>
              </w:rPr>
              <w:t>Qualité du vecteur vent mesuré à l'intérieur de la cellule par SEAWINDS</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0 21 110</w:t>
            </w:r>
          </w:p>
        </w:tc>
        <w:tc>
          <w:tcPr>
            <w:tcW w:type="dxa" w:w="1514"/>
          </w:tcPr>
          <w:p>
            <w:pPr>
              <w:spacing w:before="20" w:after="20"/>
            </w:pPr>
            <w:r/>
            <w:r>
              <w:rPr>
                <w:rFonts w:ascii="Verdana" w:hAnsi="Verdana"/>
                <w:b w:val="0"/>
                <w:sz w:val="16"/>
              </w:rPr>
              <w:t>Numéro de sigma-0 du faisceau intérieur (à l'avant du satellite)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0 21 111</w:t>
            </w:r>
          </w:p>
        </w:tc>
        <w:tc>
          <w:tcPr>
            <w:tcW w:type="dxa" w:w="1514"/>
          </w:tcPr>
          <w:p>
            <w:pPr>
              <w:spacing w:before="20" w:after="20"/>
            </w:pPr>
            <w:r/>
            <w:r>
              <w:rPr>
                <w:rFonts w:ascii="Verdana" w:hAnsi="Verdana"/>
                <w:b w:val="0"/>
                <w:sz w:val="16"/>
              </w:rPr>
              <w:t>Numéro de sigma-0 du faisceau extérieur (à l'avant du satellite)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0 21 112</w:t>
            </w:r>
          </w:p>
        </w:tc>
        <w:tc>
          <w:tcPr>
            <w:tcW w:type="dxa" w:w="1514"/>
          </w:tcPr>
          <w:p>
            <w:pPr>
              <w:spacing w:before="20" w:after="20"/>
            </w:pPr>
            <w:r/>
            <w:r>
              <w:rPr>
                <w:rFonts w:ascii="Verdana" w:hAnsi="Verdana"/>
                <w:b w:val="0"/>
                <w:sz w:val="16"/>
              </w:rPr>
              <w:t>Numéro de sigma-0 du faisceau intérieur (à l'arrière du satellite)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0 21 113</w:t>
            </w:r>
          </w:p>
        </w:tc>
        <w:tc>
          <w:tcPr>
            <w:tcW w:type="dxa" w:w="1514"/>
          </w:tcPr>
          <w:p>
            <w:pPr>
              <w:spacing w:before="20" w:after="20"/>
            </w:pPr>
            <w:r/>
            <w:r>
              <w:rPr>
                <w:rFonts w:ascii="Verdana" w:hAnsi="Verdana"/>
                <w:b w:val="0"/>
                <w:sz w:val="16"/>
              </w:rPr>
              <w:t>Numéro de sigma-0 du faisceau extérieur (à l'arrière du satellite)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0 21 114</w:t>
            </w:r>
          </w:p>
        </w:tc>
        <w:tc>
          <w:tcPr>
            <w:tcW w:type="dxa" w:w="1514"/>
          </w:tcPr>
          <w:p>
            <w:pPr>
              <w:spacing w:before="20" w:after="20"/>
            </w:pPr>
            <w:r/>
            <w:r>
              <w:rPr>
                <w:rFonts w:ascii="Verdana" w:hAnsi="Verdana"/>
                <w:b w:val="0"/>
                <w:sz w:val="16"/>
              </w:rPr>
              <w:t>Coefficient de variance Kp (gamma)</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-140000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0 21 115</w:t>
            </w:r>
          </w:p>
        </w:tc>
        <w:tc>
          <w:tcPr>
            <w:tcW w:type="dxa" w:w="1514"/>
          </w:tcPr>
          <w:p>
            <w:pPr>
              <w:spacing w:before="20" w:after="20"/>
            </w:pPr>
            <w:r/>
            <w:r>
              <w:rPr>
                <w:rFonts w:ascii="Verdana" w:hAnsi="Verdana"/>
                <w:b w:val="0"/>
                <w:sz w:val="16"/>
              </w:rPr>
              <w:t>Qualité de sigma-0 déterminée par SEAWINDS</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0 21 116</w:t>
            </w:r>
          </w:p>
        </w:tc>
        <w:tc>
          <w:tcPr>
            <w:tcW w:type="dxa" w:w="1514"/>
          </w:tcPr>
          <w:p>
            <w:pPr>
              <w:spacing w:before="20" w:after="20"/>
            </w:pPr>
            <w:r/>
            <w:r>
              <w:rPr>
                <w:rFonts w:ascii="Verdana" w:hAnsi="Verdana"/>
                <w:b w:val="0"/>
                <w:sz w:val="16"/>
              </w:rPr>
              <w:t>Mode de sigma-0 déterminé par SEAWINDS</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0 21 117</w:t>
            </w:r>
          </w:p>
        </w:tc>
        <w:tc>
          <w:tcPr>
            <w:tcW w:type="dxa" w:w="1514"/>
          </w:tcPr>
          <w:p>
            <w:pPr>
              <w:spacing w:before="20" w:after="20"/>
            </w:pPr>
            <w:r/>
            <w:r>
              <w:rPr>
                <w:rFonts w:ascii="Verdana" w:hAnsi="Verdana"/>
                <w:b w:val="0"/>
                <w:sz w:val="16"/>
              </w:rPr>
              <w:t>Contrôle de la qualité de la variance de sigma-0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0 21 118</w:t>
            </w:r>
          </w:p>
        </w:tc>
        <w:tc>
          <w:tcPr>
            <w:tcW w:type="dxa" w:w="1514"/>
          </w:tcPr>
          <w:p>
            <w:pPr>
              <w:spacing w:before="20" w:after="20"/>
            </w:pPr>
            <w:r/>
            <w:r>
              <w:rPr>
                <w:rFonts w:ascii="Verdana" w:hAnsi="Verdana"/>
                <w:b w:val="0"/>
                <w:sz w:val="16"/>
              </w:rPr>
              <w:t>Correction d'atténuation sur sigma-0</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0 21 119</w:t>
            </w:r>
          </w:p>
        </w:tc>
        <w:tc>
          <w:tcPr>
            <w:tcW w:type="dxa" w:w="1514"/>
          </w:tcPr>
          <w:p>
            <w:pPr>
              <w:spacing w:before="20" w:after="20"/>
            </w:pPr>
            <w:r/>
            <w:r>
              <w:rPr>
                <w:rFonts w:ascii="Verdana" w:hAnsi="Verdana"/>
                <w:b w:val="0"/>
                <w:sz w:val="16"/>
              </w:rPr>
              <w:t>Modèle géophysique de diffusomètre vent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0 21 120</w:t>
            </w:r>
          </w:p>
        </w:tc>
        <w:tc>
          <w:tcPr>
            <w:tcW w:type="dxa" w:w="1514"/>
          </w:tcPr>
          <w:p>
            <w:pPr>
              <w:spacing w:before="20" w:after="20"/>
            </w:pPr>
            <w:r/>
            <w:r>
              <w:rPr>
                <w:rFonts w:ascii="Verdana" w:hAnsi="Verdana"/>
                <w:b w:val="0"/>
                <w:sz w:val="16"/>
              </w:rPr>
              <w:t>Probabilité de pluie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0 21 121</w:t>
            </w:r>
          </w:p>
        </w:tc>
        <w:tc>
          <w:tcPr>
            <w:tcW w:type="dxa" w:w="1514"/>
          </w:tcPr>
          <w:p>
            <w:pPr>
              <w:spacing w:before="20" w:after="20"/>
            </w:pPr>
            <w:r/>
            <w:r>
              <w:rPr>
                <w:rFonts w:ascii="Verdana" w:hAnsi="Verdana"/>
                <w:b w:val="0"/>
                <w:sz w:val="16"/>
              </w:rPr>
              <w:t>Indice de pluie déterminé par SEAWINDS à partir d'une fonction objective normalisée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0 21 122</w:t>
            </w:r>
          </w:p>
        </w:tc>
        <w:tc>
          <w:tcPr>
            <w:tcW w:type="dxa" w:w="1514"/>
          </w:tcPr>
          <w:p>
            <w:pPr>
              <w:spacing w:before="20" w:after="20"/>
            </w:pPr>
            <w:r/>
            <w:r>
              <w:rPr>
                <w:rFonts w:ascii="Verdana" w:hAnsi="Verdana"/>
                <w:b w:val="0"/>
                <w:sz w:val="16"/>
              </w:rPr>
              <w:t>Correction d'atténuation sur sigma-0 (sur la base de tB)</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0 21 123</w:t>
            </w:r>
          </w:p>
        </w:tc>
        <w:tc>
          <w:tcPr>
            <w:tcW w:type="dxa" w:w="1514"/>
          </w:tcPr>
          <w:p>
            <w:pPr>
              <w:spacing w:before="20" w:after="20"/>
            </w:pPr>
            <w:r/>
            <w:r>
              <w:rPr>
                <w:rFonts w:ascii="Verdana" w:hAnsi="Verdana"/>
                <w:b w:val="0"/>
                <w:sz w:val="16"/>
              </w:rPr>
              <w:t>Surface équivalente radar normalisée déterminée par SEAWINDS</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0 21 128</w:t>
            </w:r>
          </w:p>
        </w:tc>
        <w:tc>
          <w:tcPr>
            <w:tcW w:type="dxa" w:w="1514"/>
          </w:tcPr>
          <w:p>
            <w:pPr>
              <w:spacing w:before="20" w:after="20"/>
            </w:pPr>
            <w:r/>
            <w:r>
              <w:rPr>
                <w:rFonts w:ascii="Verdana" w:hAnsi="Verdana"/>
                <w:b w:val="0"/>
                <w:sz w:val="16"/>
              </w:rPr>
              <w:t>Nombre de points valables par seconde utilisés pour dériver les paramètres précédents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0 21 130</w:t>
            </w:r>
          </w:p>
        </w:tc>
        <w:tc>
          <w:tcPr>
            <w:tcW w:type="dxa" w:w="1514"/>
          </w:tcPr>
          <w:p>
            <w:pPr>
              <w:spacing w:before="20" w:after="20"/>
            </w:pPr>
            <w:r/>
            <w:r>
              <w:rPr>
                <w:rFonts w:ascii="Verdana" w:hAnsi="Verdana"/>
                <w:b w:val="0"/>
                <w:sz w:val="16"/>
              </w:rPr>
              <w:t>Énergie spectrale totale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0 21 131</w:t>
            </w:r>
          </w:p>
        </w:tc>
        <w:tc>
          <w:tcPr>
            <w:tcW w:type="dxa" w:w="1514"/>
          </w:tcPr>
          <w:p>
            <w:pPr>
              <w:spacing w:before="20" w:after="20"/>
            </w:pPr>
            <w:r/>
            <w:r>
              <w:rPr>
                <w:rFonts w:ascii="Verdana" w:hAnsi="Verdana"/>
                <w:b w:val="0"/>
                <w:sz w:val="16"/>
              </w:rPr>
              <w:t>Énergie spectrale maximale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0 21 132</w:t>
            </w:r>
          </w:p>
        </w:tc>
        <w:tc>
          <w:tcPr>
            <w:tcW w:type="dxa" w:w="1514"/>
          </w:tcPr>
          <w:p>
            <w:pPr>
              <w:spacing w:before="20" w:after="20"/>
            </w:pPr>
            <w:r/>
            <w:r>
              <w:rPr>
                <w:rFonts w:ascii="Verdana" w:hAnsi="Verdana"/>
                <w:b w:val="0"/>
                <w:sz w:val="16"/>
              </w:rPr>
              <w:t>Direction de l'énergie spectrale maximale sur la grille de grande résolution</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0 21 133</w:t>
            </w:r>
          </w:p>
        </w:tc>
        <w:tc>
          <w:tcPr>
            <w:tcW w:type="dxa" w:w="1514"/>
          </w:tcPr>
          <w:p>
            <w:pPr>
              <w:spacing w:before="20" w:after="20"/>
            </w:pPr>
            <w:r/>
            <w:r>
              <w:rPr>
                <w:rFonts w:ascii="Verdana" w:hAnsi="Verdana"/>
                <w:b w:val="0"/>
                <w:sz w:val="16"/>
              </w:rPr>
              <w:t>Longueur d'onde de l'énergie spectrale maximale sur la grille de grande résolution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0 21 134</w:t>
            </w:r>
          </w:p>
        </w:tc>
        <w:tc>
          <w:tcPr>
            <w:tcW w:type="dxa" w:w="1514"/>
          </w:tcPr>
          <w:p>
            <w:pPr>
              <w:spacing w:before="20" w:after="20"/>
            </w:pPr>
            <w:r/>
            <w:r>
              <w:rPr>
                <w:rFonts w:ascii="Verdana" w:hAnsi="Verdana"/>
                <w:b w:val="0"/>
                <w:sz w:val="16"/>
              </w:rPr>
              <w:t>Pouvoir séparateur de l'interspectre de covariance</w:t>
            </w:r>
          </w:p>
        </w:tc>
        <w:tc>
          <w:tcPr>
            <w:tcW w:type="dxa" w:w="1514"/>
          </w:tcPr>
          <w:p>
            <w:pPr>
              <w:spacing w:before="20" w:after="20"/>
            </w:pPr>
            <w:r/>
            <w:r>
              <w:rPr>
                <w:rFonts w:ascii="Verdana" w:hAnsi="Verdana"/>
                <w:sz w:val="16"/>
              </w:rPr>
              <w:t>rad/m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rad/m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0 21 135</w:t>
            </w:r>
          </w:p>
        </w:tc>
        <w:tc>
          <w:tcPr>
            <w:tcW w:type="dxa" w:w="1514"/>
          </w:tcPr>
          <w:p>
            <w:pPr>
              <w:spacing w:before="20" w:after="20"/>
            </w:pPr>
            <w:r/>
            <w:r>
              <w:rPr>
                <w:rFonts w:ascii="Verdana" w:hAnsi="Verdana"/>
                <w:b w:val="0"/>
                <w:sz w:val="16"/>
              </w:rPr>
              <w:t>Partie réelle des interspectres, en nombre de cellules de la grille polaire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-524288</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0 21 136</w:t>
            </w:r>
          </w:p>
        </w:tc>
        <w:tc>
          <w:tcPr>
            <w:tcW w:type="dxa" w:w="1514"/>
          </w:tcPr>
          <w:p>
            <w:pPr>
              <w:spacing w:before="20" w:after="20"/>
            </w:pPr>
            <w:r/>
            <w:r>
              <w:rPr>
                <w:rFonts w:ascii="Verdana" w:hAnsi="Verdana"/>
                <w:b w:val="0"/>
                <w:sz w:val="16"/>
              </w:rPr>
              <w:t>Partie imaginaire des interspectres, en nombre de cellules de la grille polaire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-524288</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0 21 137</w:t>
            </w:r>
          </w:p>
        </w:tc>
        <w:tc>
          <w:tcPr>
            <w:tcW w:type="dxa" w:w="1514"/>
          </w:tcPr>
          <w:p>
            <w:pPr>
              <w:spacing w:before="20" w:after="20"/>
            </w:pPr>
            <w:r/>
            <w:r>
              <w:rPr>
                <w:rFonts w:ascii="Verdana" w:hAnsi="Verdana"/>
                <w:b w:val="0"/>
                <w:sz w:val="16"/>
              </w:rPr>
              <w:t>Coefficient de rétrodiffusion corrigé pour l'océan en bande Ku</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0 21 138</w:t>
            </w:r>
          </w:p>
        </w:tc>
        <w:tc>
          <w:tcPr>
            <w:tcW w:type="dxa" w:w="1514"/>
          </w:tcPr>
          <w:p>
            <w:pPr>
              <w:spacing w:before="20" w:after="20"/>
            </w:pPr>
            <w:r/>
            <w:r>
              <w:rPr>
                <w:rFonts w:ascii="Verdana" w:hAnsi="Verdana"/>
                <w:b w:val="0"/>
                <w:sz w:val="16"/>
              </w:rPr>
              <w:t>Coefficient de rétrodiffusion corrigé type pour l'océan en bande Ku</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0 21 139</w:t>
            </w:r>
          </w:p>
        </w:tc>
        <w:tc>
          <w:tcPr>
            <w:tcW w:type="dxa" w:w="1514"/>
          </w:tcPr>
          <w:p>
            <w:pPr>
              <w:spacing w:before="20" w:after="20"/>
            </w:pPr>
            <w:r/>
            <w:r>
              <w:rPr>
                <w:rFonts w:ascii="Verdana" w:hAnsi="Verdana"/>
                <w:b w:val="0"/>
                <w:sz w:val="16"/>
              </w:rPr>
              <w:t>Correction finale de l'erreur instrumentale pour la commande automatique de gain dans la bande Ku</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0 21 140</w:t>
            </w:r>
          </w:p>
        </w:tc>
        <w:tc>
          <w:tcPr>
            <w:tcW w:type="dxa" w:w="1514"/>
          </w:tcPr>
          <w:p>
            <w:pPr>
              <w:spacing w:before="20" w:after="20"/>
            </w:pPr>
            <w:r/>
            <w:r>
              <w:rPr>
                <w:rFonts w:ascii="Verdana" w:hAnsi="Verdana"/>
                <w:b w:val="0"/>
                <w:sz w:val="16"/>
              </w:rPr>
              <w:t>Coefficient de rétrodiffusion corrigé pour l'océan en bande S</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0 21 141</w:t>
            </w:r>
          </w:p>
        </w:tc>
        <w:tc>
          <w:tcPr>
            <w:tcW w:type="dxa" w:w="1514"/>
          </w:tcPr>
          <w:p>
            <w:pPr>
              <w:spacing w:before="20" w:after="20"/>
            </w:pPr>
            <w:r/>
            <w:r>
              <w:rPr>
                <w:rFonts w:ascii="Verdana" w:hAnsi="Verdana"/>
                <w:b w:val="0"/>
                <w:sz w:val="16"/>
              </w:rPr>
              <w:t>Coefficient de rétrodiffusion corrigé type pour l'océan en bande S</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0 21 142</w:t>
            </w:r>
          </w:p>
        </w:tc>
        <w:tc>
          <w:tcPr>
            <w:tcW w:type="dxa" w:w="1514"/>
          </w:tcPr>
          <w:p>
            <w:pPr>
              <w:spacing w:before="20" w:after="20"/>
            </w:pPr>
            <w:r/>
            <w:r>
              <w:rPr>
                <w:rFonts w:ascii="Verdana" w:hAnsi="Verdana"/>
                <w:b w:val="0"/>
                <w:sz w:val="16"/>
              </w:rPr>
              <w:t>Correction finale de l'erreur instrumentale pour la commande automatique de gain dans la bande S</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0 21 143</w:t>
            </w:r>
          </w:p>
        </w:tc>
        <w:tc>
          <w:tcPr>
            <w:tcW w:type="dxa" w:w="1514"/>
          </w:tcPr>
          <w:p>
            <w:pPr>
              <w:spacing w:before="20" w:after="20"/>
            </w:pPr>
            <w:r/>
            <w:r>
              <w:rPr>
                <w:rFonts w:ascii="Verdana" w:hAnsi="Verdana"/>
                <w:b w:val="0"/>
                <w:sz w:val="16"/>
              </w:rPr>
              <w:t>Atténuation par la pluie en bande Ku</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0 21 144</w:t>
            </w:r>
          </w:p>
        </w:tc>
        <w:tc>
          <w:tcPr>
            <w:tcW w:type="dxa" w:w="1514"/>
          </w:tcPr>
          <w:p>
            <w:pPr>
              <w:spacing w:before="20" w:after="20"/>
            </w:pPr>
            <w:r/>
            <w:r>
              <w:rPr>
                <w:rFonts w:ascii="Verdana" w:hAnsi="Verdana"/>
                <w:b w:val="0"/>
                <w:sz w:val="16"/>
              </w:rPr>
              <w:t>Indicateur de pluie de l'altimètre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0 21 145</w:t>
            </w:r>
          </w:p>
        </w:tc>
        <w:tc>
          <w:tcPr>
            <w:tcW w:type="dxa" w:w="1514"/>
          </w:tcPr>
          <w:p>
            <w:pPr>
              <w:spacing w:before="20" w:after="20"/>
            </w:pPr>
            <w:r/>
            <w:r>
              <w:rPr>
                <w:rFonts w:ascii="Verdana" w:hAnsi="Verdana"/>
                <w:b w:val="0"/>
                <w:sz w:val="16"/>
              </w:rPr>
              <w:t>Commande automatique de gain dans la bande Ku</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0 21 146</w:t>
            </w:r>
          </w:p>
        </w:tc>
        <w:tc>
          <w:tcPr>
            <w:tcW w:type="dxa" w:w="1514"/>
          </w:tcPr>
          <w:p>
            <w:pPr>
              <w:spacing w:before="20" w:after="20"/>
            </w:pPr>
            <w:r/>
            <w:r>
              <w:rPr>
                <w:rFonts w:ascii="Verdana" w:hAnsi="Verdana"/>
                <w:b w:val="0"/>
                <w:sz w:val="16"/>
              </w:rPr>
              <w:t>Moyenne quadratique de la commande automatique de gain dans la bande Ku</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0 21 147</w:t>
            </w:r>
          </w:p>
        </w:tc>
        <w:tc>
          <w:tcPr>
            <w:tcW w:type="dxa" w:w="1514"/>
          </w:tcPr>
          <w:p>
            <w:pPr>
              <w:spacing w:before="20" w:after="20"/>
            </w:pPr>
            <w:r/>
            <w:r>
              <w:rPr>
                <w:rFonts w:ascii="Verdana" w:hAnsi="Verdana"/>
                <w:b w:val="0"/>
                <w:sz w:val="16"/>
              </w:rPr>
              <w:t>Nombre de points corrects pour la commande automatique de gain dans la bande Ku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0 21 148</w:t>
            </w:r>
          </w:p>
        </w:tc>
        <w:tc>
          <w:tcPr>
            <w:tcW w:type="dxa" w:w="1514"/>
          </w:tcPr>
          <w:p>
            <w:pPr>
              <w:spacing w:before="20" w:after="20"/>
            </w:pPr>
            <w:r/>
            <w:r>
              <w:rPr>
                <w:rFonts w:ascii="Verdana" w:hAnsi="Verdana"/>
                <w:b w:val="0"/>
                <w:sz w:val="16"/>
              </w:rPr>
              <w:t>Indicateur de variation du front arrière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0 21 150</w:t>
            </w:r>
          </w:p>
        </w:tc>
        <w:tc>
          <w:tcPr>
            <w:tcW w:type="dxa" w:w="1514"/>
          </w:tcPr>
          <w:p>
            <w:pPr>
              <w:spacing w:before="20" w:after="20"/>
            </w:pPr>
            <w:r/>
            <w:r>
              <w:rPr>
                <w:rFonts w:ascii="Verdana" w:hAnsi="Verdana"/>
                <w:b w:val="0"/>
                <w:sz w:val="16"/>
              </w:rPr>
              <w:t>Recoupement de faisceaux</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0 21 151</w:t>
            </w:r>
          </w:p>
        </w:tc>
        <w:tc>
          <w:tcPr>
            <w:tcW w:type="dxa" w:w="1514"/>
          </w:tcPr>
          <w:p>
            <w:pPr>
              <w:spacing w:before="20" w:after="20"/>
            </w:pPr>
            <w:r/>
            <w:r>
              <w:rPr>
                <w:rFonts w:ascii="Verdana" w:hAnsi="Verdana"/>
                <w:b w:val="0"/>
                <w:sz w:val="16"/>
              </w:rPr>
              <w:t>Erreur estimative de sigma-0 à une incidence de 40°</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0 21 152</w:t>
            </w:r>
          </w:p>
        </w:tc>
        <w:tc>
          <w:tcPr>
            <w:tcW w:type="dxa" w:w="1514"/>
          </w:tcPr>
          <w:p>
            <w:pPr>
              <w:spacing w:before="20" w:after="20"/>
            </w:pPr>
            <w:r/>
            <w:r>
              <w:rPr>
                <w:rFonts w:ascii="Verdana" w:hAnsi="Verdana"/>
                <w:b w:val="0"/>
                <w:sz w:val="16"/>
              </w:rPr>
              <w:t>Pente à une incidence de 40°</w:t>
            </w:r>
          </w:p>
        </w:tc>
        <w:tc>
          <w:tcPr>
            <w:tcW w:type="dxa" w:w="1514"/>
          </w:tcPr>
          <w:p>
            <w:pPr>
              <w:spacing w:before="20" w:after="20"/>
            </w:pPr>
            <w:r/>
            <w:r>
              <w:rPr>
                <w:rFonts w:ascii="Verdana" w:hAnsi="Verdana"/>
                <w:sz w:val="16"/>
              </w:rPr>
              <w:t>dB/deg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-80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dB/deg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0 21 153</w:t>
            </w:r>
          </w:p>
        </w:tc>
        <w:tc>
          <w:tcPr>
            <w:tcW w:type="dxa" w:w="1514"/>
          </w:tcPr>
          <w:p>
            <w:pPr>
              <w:spacing w:before="20" w:after="20"/>
            </w:pPr>
            <w:r/>
            <w:r>
              <w:rPr>
                <w:rFonts w:ascii="Verdana" w:hAnsi="Verdana"/>
                <w:b w:val="0"/>
                <w:sz w:val="16"/>
              </w:rPr>
              <w:t>Erreur estimative de la pente à une incidence de 40°</w:t>
            </w:r>
          </w:p>
        </w:tc>
        <w:tc>
          <w:tcPr>
            <w:tcW w:type="dxa" w:w="1514"/>
          </w:tcPr>
          <w:p>
            <w:pPr>
              <w:spacing w:before="20" w:after="20"/>
            </w:pPr>
            <w:r/>
            <w:r>
              <w:rPr>
                <w:rFonts w:ascii="Verdana" w:hAnsi="Verdana"/>
                <w:sz w:val="16"/>
              </w:rPr>
              <w:t>dB/deg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dB/deg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0 21 154</w:t>
            </w:r>
          </w:p>
        </w:tc>
        <w:tc>
          <w:tcPr>
            <w:tcW w:type="dxa" w:w="1514"/>
          </w:tcPr>
          <w:p>
            <w:pPr>
              <w:spacing w:before="20" w:after="20"/>
            </w:pPr>
            <w:r/>
            <w:r>
              <w:rPr>
                <w:rFonts w:ascii="Verdana" w:hAnsi="Verdana"/>
                <w:b w:val="0"/>
                <w:sz w:val="16"/>
              </w:rPr>
              <w:t>Sensibilité à l'humidité du sol</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0 21 155</w:t>
            </w:r>
          </w:p>
        </w:tc>
        <w:tc>
          <w:tcPr>
            <w:tcW w:type="dxa" w:w="1514"/>
          </w:tcPr>
          <w:p>
            <w:pPr>
              <w:spacing w:before="20" w:after="20"/>
            </w:pPr>
            <w:r/>
            <w:r>
              <w:rPr>
                <w:rFonts w:ascii="Verdana" w:hAnsi="Verdana"/>
                <w:b w:val="0"/>
                <w:sz w:val="16"/>
              </w:rPr>
              <w:t>Qualité du vecteur vent dans la cellule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0 21 156</w:t>
            </w:r>
          </w:p>
        </w:tc>
        <w:tc>
          <w:tcPr>
            <w:tcW w:type="dxa" w:w="1514"/>
          </w:tcPr>
          <w:p>
            <w:pPr>
              <w:spacing w:before="20" w:after="20"/>
            </w:pPr>
            <w:r/>
            <w:r>
              <w:rPr>
                <w:rFonts w:ascii="Verdana" w:hAnsi="Verdana"/>
                <w:b w:val="0"/>
                <w:sz w:val="16"/>
              </w:rPr>
              <w:t>Distance de rétrodiffusion</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0 21 157</w:t>
            </w:r>
          </w:p>
        </w:tc>
        <w:tc>
          <w:tcPr>
            <w:tcW w:type="dxa" w:w="1514"/>
          </w:tcPr>
          <w:p>
            <w:pPr>
              <w:spacing w:before="20" w:after="20"/>
            </w:pPr>
            <w:r/>
            <w:r>
              <w:rPr>
                <w:rFonts w:ascii="Verdana" w:hAnsi="Verdana"/>
                <w:b w:val="0"/>
                <w:sz w:val="16"/>
              </w:rPr>
              <w:t>Perte par unité de longueur utilisée pour l'atmosphère</w:t>
            </w:r>
          </w:p>
        </w:tc>
        <w:tc>
          <w:tcPr>
            <w:tcW w:type="dxa" w:w="1514"/>
          </w:tcPr>
          <w:p>
            <w:pPr>
              <w:spacing w:before="20" w:after="20"/>
            </w:pPr>
            <w:r/>
            <w:r>
              <w:rPr>
                <w:rFonts w:ascii="Verdana" w:hAnsi="Verdana"/>
                <w:sz w:val="16"/>
              </w:rPr>
              <w:t>dB/m</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dB/m</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0 21 158</w:t>
            </w:r>
          </w:p>
        </w:tc>
        <w:tc>
          <w:tcPr>
            <w:tcW w:type="dxa" w:w="1514"/>
          </w:tcPr>
          <w:p>
            <w:pPr>
              <w:spacing w:before="20" w:after="20"/>
            </w:pPr>
            <w:r/>
            <w:r>
              <w:rPr>
                <w:rFonts w:ascii="Verdana" w:hAnsi="Verdana"/>
                <w:b w:val="0"/>
                <w:sz w:val="16"/>
              </w:rPr>
              <w:t>Qualité de l'estimation de la Kp, ASCAT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0 21 159</w:t>
            </w:r>
          </w:p>
        </w:tc>
        <w:tc>
          <w:tcPr>
            <w:tcW w:type="dxa" w:w="1514"/>
          </w:tcPr>
          <w:p>
            <w:pPr>
              <w:spacing w:before="20" w:after="20"/>
            </w:pPr>
            <w:r/>
            <w:r>
              <w:rPr>
                <w:rFonts w:ascii="Verdana" w:hAnsi="Verdana"/>
                <w:b w:val="0"/>
                <w:sz w:val="16"/>
              </w:rPr>
              <w:t>Unité des sigma-0, ASCAT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0 21 160</w:t>
            </w:r>
          </w:p>
        </w:tc>
        <w:tc>
          <w:tcPr>
            <w:tcW w:type="dxa" w:w="1514"/>
          </w:tcPr>
          <w:p>
            <w:pPr>
              <w:spacing w:before="20" w:after="20"/>
            </w:pPr>
            <w:r/>
            <w:r>
              <w:rPr>
                <w:rFonts w:ascii="Verdana" w:hAnsi="Verdana"/>
                <w:b w:val="0"/>
                <w:sz w:val="16"/>
              </w:rPr>
              <w:t>Utilisation de données synthétiques, ASCAT</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0 21 161</w:t>
            </w:r>
          </w:p>
        </w:tc>
        <w:tc>
          <w:tcPr>
            <w:tcW w:type="dxa" w:w="1514"/>
          </w:tcPr>
          <w:p>
            <w:pPr>
              <w:spacing w:before="20" w:after="20"/>
            </w:pPr>
            <w:r/>
            <w:r>
              <w:rPr>
                <w:rFonts w:ascii="Verdana" w:hAnsi="Verdana"/>
                <w:b w:val="0"/>
                <w:sz w:val="16"/>
              </w:rPr>
              <w:t>Quantité des données synthétiques, ASCAT</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0 21 162</w:t>
            </w:r>
          </w:p>
        </w:tc>
        <w:tc>
          <w:tcPr>
            <w:tcW w:type="dxa" w:w="1514"/>
          </w:tcPr>
          <w:p>
            <w:pPr>
              <w:spacing w:before="20" w:after="20"/>
            </w:pPr>
            <w:r/>
            <w:r>
              <w:rPr>
                <w:rFonts w:ascii="Verdana" w:hAnsi="Verdana"/>
                <w:b w:val="0"/>
                <w:sz w:val="16"/>
              </w:rPr>
              <w:t>Qualité de l'orbite et de l'attitude du satellite, ASCAT</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0 21 163</w:t>
            </w:r>
          </w:p>
        </w:tc>
        <w:tc>
          <w:tcPr>
            <w:tcW w:type="dxa" w:w="1514"/>
          </w:tcPr>
          <w:p>
            <w:pPr>
              <w:spacing w:before="20" w:after="20"/>
            </w:pPr>
            <w:r/>
            <w:r>
              <w:rPr>
                <w:rFonts w:ascii="Verdana" w:hAnsi="Verdana"/>
                <w:b w:val="0"/>
                <w:sz w:val="16"/>
              </w:rPr>
              <w:t>Contamination par réflexion sur panneau solaire, ASCAT</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0 21 164</w:t>
            </w:r>
          </w:p>
        </w:tc>
        <w:tc>
          <w:tcPr>
            <w:tcW w:type="dxa" w:w="1514"/>
          </w:tcPr>
          <w:p>
            <w:pPr>
              <w:spacing w:before="20" w:after="20"/>
            </w:pPr>
            <w:r/>
            <w:r>
              <w:rPr>
                <w:rFonts w:ascii="Verdana" w:hAnsi="Verdana"/>
                <w:b w:val="0"/>
                <w:sz w:val="16"/>
              </w:rPr>
              <w:t>Présence et qualité des télémesures, ASCAT</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0 21 165</w:t>
            </w:r>
          </w:p>
        </w:tc>
        <w:tc>
          <w:tcPr>
            <w:tcW w:type="dxa" w:w="1514"/>
          </w:tcPr>
          <w:p>
            <w:pPr>
              <w:spacing w:before="20" w:after="20"/>
            </w:pPr>
            <w:r/>
            <w:r>
              <w:rPr>
                <w:rFonts w:ascii="Verdana" w:hAnsi="Verdana"/>
                <w:b w:val="0"/>
                <w:sz w:val="16"/>
              </w:rPr>
              <w:t>Fonction de référence extrapolée, ASCAT</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0 21 166</w:t>
            </w:r>
          </w:p>
        </w:tc>
        <w:tc>
          <w:tcPr>
            <w:tcW w:type="dxa" w:w="1514"/>
          </w:tcPr>
          <w:p>
            <w:pPr>
              <w:spacing w:before="20" w:after="20"/>
            </w:pPr>
            <w:r/>
            <w:r>
              <w:rPr>
                <w:rFonts w:ascii="Verdana" w:hAnsi="Verdana"/>
                <w:b w:val="0"/>
                <w:sz w:val="16"/>
              </w:rPr>
              <w:t>Fraction terrestre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0 21 169</w:t>
            </w:r>
          </w:p>
        </w:tc>
        <w:tc>
          <w:tcPr>
            <w:tcW w:type="dxa" w:w="1514"/>
          </w:tcPr>
          <w:p>
            <w:pPr>
              <w:spacing w:before="20" w:after="20"/>
            </w:pPr>
            <w:r/>
            <w:r>
              <w:rPr>
                <w:rFonts w:ascii="Verdana" w:hAnsi="Verdana"/>
                <w:b w:val="0"/>
                <w:sz w:val="16"/>
              </w:rPr>
              <w:t>Indicateur de présence de glace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0 21 170</w:t>
            </w:r>
          </w:p>
        </w:tc>
        <w:tc>
          <w:tcPr>
            <w:tcW w:type="dxa" w:w="1514"/>
          </w:tcPr>
          <w:p>
            <w:pPr>
              <w:spacing w:before="20" w:after="20"/>
            </w:pPr>
            <w:r/>
            <w:r>
              <w:rPr>
                <w:rFonts w:ascii="Verdana" w:hAnsi="Verdana"/>
                <w:b w:val="0"/>
                <w:sz w:val="16"/>
              </w:rPr>
              <w:t>Coefficient de rétrodiffusion corrigé pour l'océan en bande C</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0 21 171</w:t>
            </w:r>
          </w:p>
        </w:tc>
        <w:tc>
          <w:tcPr>
            <w:tcW w:type="dxa" w:w="1514"/>
          </w:tcPr>
          <w:p>
            <w:pPr>
              <w:spacing w:before="20" w:after="20"/>
            </w:pPr>
            <w:r/>
            <w:r>
              <w:rPr>
                <w:rFonts w:ascii="Verdana" w:hAnsi="Verdana"/>
                <w:b w:val="0"/>
                <w:sz w:val="16"/>
              </w:rPr>
              <w:t>Moyenne quadratique du coefficient de rétrodiffusion corrigé pour l'océan en bande C</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0 21 172</w:t>
            </w:r>
          </w:p>
        </w:tc>
        <w:tc>
          <w:tcPr>
            <w:tcW w:type="dxa" w:w="1514"/>
          </w:tcPr>
          <w:p>
            <w:pPr>
              <w:spacing w:before="20" w:after="20"/>
            </w:pPr>
            <w:r/>
            <w:r>
              <w:rPr>
                <w:rFonts w:ascii="Verdana" w:hAnsi="Verdana"/>
                <w:b w:val="0"/>
                <w:sz w:val="16"/>
              </w:rPr>
              <w:t>Correction finale de l'erreur instrumentale pour la commande automatique de gain dans la bande C</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0 21 173</w:t>
            </w:r>
          </w:p>
        </w:tc>
        <w:tc>
          <w:tcPr>
            <w:tcW w:type="dxa" w:w="1514"/>
          </w:tcPr>
          <w:p>
            <w:pPr>
              <w:spacing w:before="20" w:after="20"/>
            </w:pPr>
            <w:r/>
            <w:r>
              <w:rPr>
                <w:rFonts w:ascii="Verdana" w:hAnsi="Verdana"/>
                <w:b w:val="0"/>
                <w:sz w:val="16"/>
              </w:rPr>
              <w:t>Commande automatique de gain dans la bande C</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0 21 174</w:t>
            </w:r>
          </w:p>
        </w:tc>
        <w:tc>
          <w:tcPr>
            <w:tcW w:type="dxa" w:w="1514"/>
          </w:tcPr>
          <w:p>
            <w:pPr>
              <w:spacing w:before="20" w:after="20"/>
            </w:pPr>
            <w:r/>
            <w:r>
              <w:rPr>
                <w:rFonts w:ascii="Verdana" w:hAnsi="Verdana"/>
                <w:b w:val="0"/>
                <w:sz w:val="16"/>
              </w:rPr>
              <w:t>Moyenne quadratique de la commande automatique de gain dans la bande C</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0 21 175</w:t>
            </w:r>
          </w:p>
        </w:tc>
        <w:tc>
          <w:tcPr>
            <w:tcW w:type="dxa" w:w="1514"/>
          </w:tcPr>
          <w:p>
            <w:pPr>
              <w:spacing w:before="20" w:after="20"/>
            </w:pPr>
            <w:r/>
            <w:r>
              <w:rPr>
                <w:rFonts w:ascii="Verdana" w:hAnsi="Verdana"/>
                <w:b w:val="0"/>
                <w:sz w:val="16"/>
              </w:rPr>
              <w:t>Nombre de points corrects pour la commande automatique de gain dans la bande C</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0 21 176</w:t>
            </w:r>
          </w:p>
        </w:tc>
        <w:tc>
          <w:tcPr>
            <w:tcW w:type="dxa" w:w="1514"/>
          </w:tcPr>
          <w:p>
            <w:pPr>
              <w:spacing w:before="20" w:after="20"/>
            </w:pPr>
            <w:r/>
            <w:r>
              <w:rPr>
                <w:rFonts w:ascii="Verdana" w:hAnsi="Verdana"/>
                <w:b w:val="0"/>
                <w:sz w:val="16"/>
              </w:rPr>
              <w:t>Correction haute fréquence de la variabilité</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0 21 177</w:t>
            </w:r>
          </w:p>
        </w:tc>
        <w:tc>
          <w:tcPr>
            <w:tcW w:type="dxa" w:w="1514"/>
          </w:tcPr>
          <w:p>
            <w:pPr>
              <w:spacing w:before="20" w:after="20"/>
            </w:pPr>
            <w:r/>
            <w:r>
              <w:rPr>
                <w:rFonts w:ascii="Verdana" w:hAnsi="Verdana"/>
                <w:b w:val="0"/>
                <w:sz w:val="16"/>
              </w:rPr>
              <w:t>Coefficient de rétrodiffusion corrigé - centre de gravité excentré</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0 21 178</w:t>
            </w:r>
          </w:p>
        </w:tc>
        <w:tc>
          <w:tcPr>
            <w:tcW w:type="dxa" w:w="1514"/>
          </w:tcPr>
          <w:p>
            <w:pPr>
              <w:spacing w:before="20" w:after="20"/>
            </w:pPr>
            <w:r/>
            <w:r>
              <w:rPr>
                <w:rFonts w:ascii="Verdana" w:hAnsi="Verdana"/>
                <w:b w:val="0"/>
                <w:sz w:val="16"/>
              </w:rPr>
              <w:t>Coefficient de rétrodiffusion corrigé type à 20 Hz - centre de gravité excentré</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0 21 179</w:t>
            </w:r>
          </w:p>
        </w:tc>
        <w:tc>
          <w:tcPr>
            <w:tcW w:type="dxa" w:w="1514"/>
          </w:tcPr>
          <w:p>
            <w:pPr>
              <w:spacing w:before="20" w:after="20"/>
            </w:pPr>
            <w:r/>
            <w:r>
              <w:rPr>
                <w:rFonts w:ascii="Verdana" w:hAnsi="Verdana"/>
                <w:b w:val="0"/>
                <w:sz w:val="16"/>
              </w:rPr>
              <w:t>Nombre de points corrects à 20 Hz pour le coefficient de rétrodiffusion - centre de gravité excentré</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0 21 180</w:t>
            </w:r>
          </w:p>
        </w:tc>
        <w:tc>
          <w:tcPr>
            <w:tcW w:type="dxa" w:w="1514"/>
          </w:tcPr>
          <w:p>
            <w:pPr>
              <w:spacing w:before="20" w:after="20"/>
            </w:pPr>
            <w:r/>
            <w:r>
              <w:rPr>
                <w:rFonts w:ascii="Verdana" w:hAnsi="Verdana"/>
                <w:b w:val="0"/>
                <w:sz w:val="16"/>
              </w:rPr>
              <w:t>Nombre de points corrects à 20 Hz pour le coefficient de rétrodiffusion pour l'océan</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0 21 181</w:t>
            </w:r>
          </w:p>
        </w:tc>
        <w:tc>
          <w:tcPr>
            <w:tcW w:type="dxa" w:w="1514"/>
          </w:tcPr>
          <w:p>
            <w:pPr>
              <w:spacing w:before="20" w:after="20"/>
            </w:pPr>
            <w:r/>
            <w:r>
              <w:rPr>
                <w:rFonts w:ascii="Verdana" w:hAnsi="Verdana"/>
                <w:b w:val="0"/>
                <w:sz w:val="16"/>
              </w:rPr>
              <w:t>Coefficient de rétrodiffusion pour l'océan à 20 Hz</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0 21 182</w:t>
            </w:r>
          </w:p>
        </w:tc>
        <w:tc>
          <w:tcPr>
            <w:tcW w:type="dxa" w:w="1514"/>
          </w:tcPr>
          <w:p>
            <w:pPr>
              <w:spacing w:before="20" w:after="20"/>
            </w:pPr>
            <w:r/>
            <w:r>
              <w:rPr>
                <w:rFonts w:ascii="Verdana" w:hAnsi="Verdana"/>
                <w:b w:val="0"/>
                <w:sz w:val="16"/>
              </w:rPr>
              <w:t>Maxima à 20 Hz en bande Ku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0 21 183</w:t>
            </w:r>
          </w:p>
        </w:tc>
        <w:tc>
          <w:tcPr>
            <w:tcW w:type="dxa" w:w="1514"/>
          </w:tcPr>
          <w:p>
            <w:pPr>
              <w:spacing w:before="20" w:after="20"/>
            </w:pPr>
            <w:r/>
            <w:r>
              <w:rPr>
                <w:rFonts w:ascii="Verdana" w:hAnsi="Verdana"/>
                <w:b w:val="0"/>
                <w:sz w:val="16"/>
              </w:rPr>
              <w:t>Coefficient de rétrodiffusion corrigé pour l'océan dans une bande précise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0 21 184</w:t>
            </w:r>
          </w:p>
        </w:tc>
        <w:tc>
          <w:tcPr>
            <w:tcW w:type="dxa" w:w="1514"/>
          </w:tcPr>
          <w:p>
            <w:pPr>
              <w:spacing w:before="20" w:after="20"/>
            </w:pPr>
            <w:r/>
            <w:r>
              <w:rPr>
                <w:rFonts w:ascii="Verdana" w:hAnsi="Verdana"/>
                <w:b w:val="0"/>
                <w:sz w:val="16"/>
              </w:rPr>
              <w:t>Coefficient de rétrodiffusion corrigé type pour l'océan dans une bande précise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0 21 185</w:t>
            </w:r>
          </w:p>
        </w:tc>
        <w:tc>
          <w:tcPr>
            <w:tcW w:type="dxa" w:w="1514"/>
          </w:tcPr>
          <w:p>
            <w:pPr>
              <w:spacing w:before="20" w:after="20"/>
            </w:pPr>
            <w:r/>
            <w:r>
              <w:rPr>
                <w:rFonts w:ascii="Verdana" w:hAnsi="Verdana"/>
                <w:b w:val="0"/>
                <w:sz w:val="16"/>
              </w:rPr>
              <w:t>Correction finale de l'erreur instrumentale pour la commande automatique de gain dans une bande précise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0 21 186</w:t>
            </w:r>
          </w:p>
        </w:tc>
        <w:tc>
          <w:tcPr>
            <w:tcW w:type="dxa" w:w="1514"/>
          </w:tcPr>
          <w:p>
            <w:pPr>
              <w:spacing w:before="20" w:after="20"/>
            </w:pPr>
            <w:r/>
            <w:r>
              <w:rPr>
                <w:rFonts w:ascii="Verdana" w:hAnsi="Verdana"/>
                <w:b w:val="0"/>
                <w:sz w:val="16"/>
              </w:rPr>
              <w:t>Commande automatique de gain dans une bande précise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0 21 187</w:t>
            </w:r>
          </w:p>
        </w:tc>
        <w:tc>
          <w:tcPr>
            <w:tcW w:type="dxa" w:w="1514"/>
          </w:tcPr>
          <w:p>
            <w:pPr>
              <w:spacing w:before="20" w:after="20"/>
            </w:pPr>
            <w:r/>
            <w:r>
              <w:rPr>
                <w:rFonts w:ascii="Verdana" w:hAnsi="Verdana"/>
                <w:b w:val="0"/>
                <w:sz w:val="16"/>
              </w:rPr>
              <w:t>Moyenne quadratique de la commande automatique de gain dans une bande précise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0 21 188</w:t>
            </w:r>
          </w:p>
        </w:tc>
        <w:tc>
          <w:tcPr>
            <w:tcW w:type="dxa" w:w="1514"/>
          </w:tcPr>
          <w:p>
            <w:pPr>
              <w:spacing w:before="20" w:after="20"/>
            </w:pPr>
            <w:r/>
            <w:r>
              <w:rPr>
                <w:rFonts w:ascii="Verdana" w:hAnsi="Verdana"/>
                <w:b w:val="0"/>
                <w:sz w:val="16"/>
              </w:rPr>
              <w:t>Nombre de points corrects pour la commande automatique de gain dans une bande précise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bl>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