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23 : Dispersion et transport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0 23 001</w:t>
            </w:r>
          </w:p>
        </w:tc>
        <w:tc>
          <w:tcPr>
            <w:tcW w:type="dxa" w:w="1514"/>
          </w:tcPr>
          <w:p>
            <w:pPr>
              <w:spacing w:before="20" w:after="20"/>
            </w:pPr>
            <w:r/>
            <w:r>
              <w:rPr>
                <w:rFonts w:ascii="Verdana" w:hAnsi="Verdana"/>
                <w:b w:val="0"/>
                <w:sz w:val="16"/>
              </w:rPr>
              <w:t>Notification rapide d'un accident - article applicable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0 23 002</w:t>
            </w:r>
          </w:p>
        </w:tc>
        <w:tc>
          <w:tcPr>
            <w:tcW w:type="dxa" w:w="1514"/>
          </w:tcPr>
          <w:p>
            <w:pPr>
              <w:spacing w:before="20" w:after="20"/>
            </w:pPr>
            <w:r/>
            <w:r>
              <w:rPr>
                <w:rFonts w:ascii="Verdana" w:hAnsi="Verdana"/>
                <w:b w:val="0"/>
                <w:sz w:val="16"/>
              </w:rPr>
              <w:t>Activité ou installation en cause dans l'incident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0 23 003</w:t>
            </w:r>
          </w:p>
        </w:tc>
        <w:tc>
          <w:tcPr>
            <w:tcW w:type="dxa" w:w="1514"/>
          </w:tcPr>
          <w:p>
            <w:pPr>
              <w:spacing w:before="20" w:after="20"/>
            </w:pPr>
            <w:r/>
            <w:r>
              <w:rPr>
                <w:rFonts w:ascii="Verdana" w:hAnsi="Verdana"/>
                <w:b w:val="0"/>
                <w:sz w:val="16"/>
              </w:rPr>
              <w:t>Type de rejet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0 23 004</w:t>
            </w:r>
          </w:p>
        </w:tc>
        <w:tc>
          <w:tcPr>
            <w:tcW w:type="dxa" w:w="1514"/>
          </w:tcPr>
          <w:p>
            <w:pPr>
              <w:spacing w:before="20" w:after="20"/>
            </w:pPr>
            <w:r/>
            <w:r>
              <w:rPr>
                <w:rFonts w:ascii="Verdana" w:hAnsi="Verdana"/>
                <w:b w:val="0"/>
                <w:sz w:val="16"/>
              </w:rPr>
              <w:t>Contre-mesures prises près de la frontière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0 23 005</w:t>
            </w:r>
          </w:p>
        </w:tc>
        <w:tc>
          <w:tcPr>
            <w:tcW w:type="dxa" w:w="1514"/>
          </w:tcPr>
          <w:p>
            <w:pPr>
              <w:spacing w:before="20" w:after="20"/>
            </w:pPr>
            <w:r/>
            <w:r>
              <w:rPr>
                <w:rFonts w:ascii="Verdana" w:hAnsi="Verdana"/>
                <w:b w:val="0"/>
                <w:sz w:val="16"/>
              </w:rPr>
              <w:t>Cause de l'incident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0 23 006</w:t>
            </w:r>
          </w:p>
        </w:tc>
        <w:tc>
          <w:tcPr>
            <w:tcW w:type="dxa" w:w="1514"/>
          </w:tcPr>
          <w:p>
            <w:pPr>
              <w:spacing w:before="20" w:after="20"/>
            </w:pPr>
            <w:r/>
            <w:r>
              <w:rPr>
                <w:rFonts w:ascii="Verdana" w:hAnsi="Verdana"/>
                <w:b w:val="0"/>
                <w:sz w:val="16"/>
              </w:rPr>
              <w:t>Situation de l'incident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0 23 007</w:t>
            </w:r>
          </w:p>
        </w:tc>
        <w:tc>
          <w:tcPr>
            <w:tcW w:type="dxa" w:w="1514"/>
          </w:tcPr>
          <w:p>
            <w:pPr>
              <w:spacing w:before="20" w:after="20"/>
            </w:pPr>
            <w:r/>
            <w:r>
              <w:rPr>
                <w:rFonts w:ascii="Verdana" w:hAnsi="Verdana"/>
                <w:b w:val="0"/>
                <w:sz w:val="16"/>
              </w:rPr>
              <w:t>Caractéristiques du rejet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0 23 008</w:t>
            </w:r>
          </w:p>
        </w:tc>
        <w:tc>
          <w:tcPr>
            <w:tcW w:type="dxa" w:w="1514"/>
          </w:tcPr>
          <w:p>
            <w:pPr>
              <w:spacing w:before="20" w:after="20"/>
            </w:pPr>
            <w:r/>
            <w:r>
              <w:rPr>
                <w:rFonts w:ascii="Verdana" w:hAnsi="Verdana"/>
                <w:b w:val="0"/>
                <w:sz w:val="16"/>
              </w:rPr>
              <w:t>Nature du rejet observé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0 23 009</w:t>
            </w:r>
          </w:p>
        </w:tc>
        <w:tc>
          <w:tcPr>
            <w:tcW w:type="dxa" w:w="1514"/>
          </w:tcPr>
          <w:p>
            <w:pPr>
              <w:spacing w:before="20" w:after="20"/>
            </w:pPr>
            <w:r/>
            <w:r>
              <w:rPr>
                <w:rFonts w:ascii="Verdana" w:hAnsi="Verdana"/>
                <w:b w:val="0"/>
                <w:sz w:val="16"/>
              </w:rPr>
              <w:t>Nature du rejet prévu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0 23 016</w:t>
            </w:r>
          </w:p>
        </w:tc>
        <w:tc>
          <w:tcPr>
            <w:tcW w:type="dxa" w:w="1514"/>
          </w:tcPr>
          <w:p>
            <w:pPr>
              <w:spacing w:before="20" w:after="20"/>
            </w:pPr>
            <w:r/>
            <w:r>
              <w:rPr>
                <w:rFonts w:ascii="Verdana" w:hAnsi="Verdana"/>
                <w:b w:val="0"/>
                <w:sz w:val="16"/>
              </w:rPr>
              <w:t>Risque d'effets chimiques toxiques notables sur la santé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0 23 017</w:t>
            </w:r>
          </w:p>
        </w:tc>
        <w:tc>
          <w:tcPr>
            <w:tcW w:type="dxa" w:w="1514"/>
          </w:tcPr>
          <w:p>
            <w:pPr>
              <w:spacing w:before="20" w:after="20"/>
            </w:pPr>
            <w:r/>
            <w:r>
              <w:rPr>
                <w:rFonts w:ascii="Verdana" w:hAnsi="Verdana"/>
                <w:b w:val="0"/>
                <w:sz w:val="16"/>
              </w:rPr>
              <w:t>Débit de la principale masse d'eau réceptrice</w:t>
            </w:r>
          </w:p>
        </w:tc>
        <w:tc>
          <w:tcPr>
            <w:tcW w:type="dxa" w:w="1514"/>
          </w:tcPr>
          <w:p>
            <w:pPr>
              <w:spacing w:before="20" w:after="20"/>
            </w:pPr>
            <w:r/>
            <w:r>
              <w:rPr>
                <w:rFonts w:ascii="Verdana" w:hAnsi="Verdana"/>
                <w:sz w:val="16"/>
              </w:rPr>
              <w:t>m</w:t>
            </w:r>
            <w:r>
              <w:rPr>
                <w:rFonts w:ascii="Verdana" w:hAnsi="Verdana"/>
                <w:sz w:val="16"/>
                <w:vertAlign w:val="superscript"/>
              </w:rPr>
              <w:t>3</w:t>
            </w:r>
            <w:r>
              <w:rPr>
                <w:rFonts w:ascii="Verdana" w:hAnsi="Verdana"/>
                <w:sz w:val="16"/>
              </w:rPr>
              <w:t>/s</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3</w:t>
            </w:r>
            <w:r>
              <w:rPr>
                <w:rFonts w:ascii="Verdana" w:hAnsi="Verdana"/>
                <w:sz w:val="16"/>
              </w:rPr>
              <w:t>/s</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0 23 018</w:t>
            </w:r>
          </w:p>
        </w:tc>
        <w:tc>
          <w:tcPr>
            <w:tcW w:type="dxa" w:w="1514"/>
          </w:tcPr>
          <w:p>
            <w:pPr>
              <w:spacing w:before="20" w:after="20"/>
            </w:pPr>
            <w:r/>
            <w:r>
              <w:rPr>
                <w:rFonts w:ascii="Verdana" w:hAnsi="Verdana"/>
                <w:b w:val="0"/>
                <w:sz w:val="16"/>
              </w:rPr>
              <w:t>Évolution du rejet dans le temps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0 23 019</w:t>
            </w:r>
          </w:p>
        </w:tc>
        <w:tc>
          <w:tcPr>
            <w:tcW w:type="dxa" w:w="1514"/>
          </w:tcPr>
          <w:p>
            <w:pPr>
              <w:spacing w:before="20" w:after="20"/>
            </w:pPr>
            <w:r/>
            <w:r>
              <w:rPr>
                <w:rFonts w:ascii="Verdana" w:hAnsi="Verdana"/>
                <w:b w:val="0"/>
                <w:sz w:val="16"/>
              </w:rPr>
              <w:t>Hauteur réelle du rejet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0 23 021</w:t>
            </w:r>
          </w:p>
        </w:tc>
        <w:tc>
          <w:tcPr>
            <w:tcW w:type="dxa" w:w="1514"/>
          </w:tcPr>
          <w:p>
            <w:pPr>
              <w:spacing w:before="20" w:after="20"/>
            </w:pPr>
            <w:r/>
            <w:r>
              <w:rPr>
                <w:rFonts w:ascii="Verdana" w:hAnsi="Verdana"/>
                <w:b w:val="0"/>
                <w:sz w:val="16"/>
              </w:rPr>
              <w:t>Hauteur effective du rejet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-15000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0 23 022</w:t>
            </w:r>
          </w:p>
        </w:tc>
        <w:tc>
          <w:tcPr>
            <w:tcW w:type="dxa" w:w="1514"/>
          </w:tcPr>
          <w:p>
            <w:pPr>
              <w:spacing w:before="20" w:after="20"/>
            </w:pPr>
            <w:r/>
            <w:r>
              <w:rPr>
                <w:rFonts w:ascii="Verdana" w:hAnsi="Verdana"/>
                <w:b w:val="0"/>
                <w:sz w:val="16"/>
              </w:rPr>
              <w:t>Distance du point de rejet ou du site de l'incident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0 23 023</w:t>
            </w:r>
          </w:p>
        </w:tc>
        <w:tc>
          <w:tcPr>
            <w:tcW w:type="dxa" w:w="1514"/>
          </w:tcPr>
          <w:p>
            <w:pPr>
              <w:spacing w:before="20" w:after="20"/>
            </w:pPr>
            <w:r/>
            <w:r>
              <w:rPr>
                <w:rFonts w:ascii="Verdana" w:hAnsi="Verdana"/>
                <w:b w:val="0"/>
                <w:sz w:val="16"/>
              </w:rPr>
              <w:t>Vitesse du transport principal dans l'atmosphère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0 23 024</w:t>
            </w:r>
          </w:p>
        </w:tc>
        <w:tc>
          <w:tcPr>
            <w:tcW w:type="dxa" w:w="1514"/>
          </w:tcPr>
          <w:p>
            <w:pPr>
              <w:spacing w:before="20" w:after="20"/>
            </w:pPr>
            <w:r/>
            <w:r>
              <w:rPr>
                <w:rFonts w:ascii="Verdana" w:hAnsi="Verdana"/>
                <w:b w:val="0"/>
                <w:sz w:val="16"/>
              </w:rPr>
              <w:t>Vitesse du transport principal dans l'eau</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0 23 025</w:t>
            </w:r>
          </w:p>
        </w:tc>
        <w:tc>
          <w:tcPr>
            <w:tcW w:type="dxa" w:w="1514"/>
          </w:tcPr>
          <w:p>
            <w:pPr>
              <w:spacing w:before="20" w:after="20"/>
            </w:pPr>
            <w:r/>
            <w:r>
              <w:rPr>
                <w:rFonts w:ascii="Verdana" w:hAnsi="Verdana"/>
                <w:b w:val="0"/>
                <w:sz w:val="16"/>
              </w:rPr>
              <w:t>Vitesse du transport principal dans les eaux souterraines</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0 23 027</w:t>
            </w:r>
          </w:p>
        </w:tc>
        <w:tc>
          <w:tcPr>
            <w:tcW w:type="dxa" w:w="1514"/>
          </w:tcPr>
          <w:p>
            <w:pPr>
              <w:spacing w:before="20" w:after="20"/>
            </w:pPr>
            <w:r/>
            <w:r>
              <w:rPr>
                <w:rFonts w:ascii="Verdana" w:hAnsi="Verdana"/>
                <w:b w:val="0"/>
                <w:sz w:val="16"/>
              </w:rPr>
              <w:t>Direction du transport principal dans l'atmosphère</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0 23 028</w:t>
            </w:r>
          </w:p>
        </w:tc>
        <w:tc>
          <w:tcPr>
            <w:tcW w:type="dxa" w:w="1514"/>
          </w:tcPr>
          <w:p>
            <w:pPr>
              <w:spacing w:before="20" w:after="20"/>
            </w:pPr>
            <w:r/>
            <w:r>
              <w:rPr>
                <w:rFonts w:ascii="Verdana" w:hAnsi="Verdana"/>
                <w:b w:val="0"/>
                <w:sz w:val="16"/>
              </w:rPr>
              <w:t>Direction du transport principal dans l'eau</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0 23 029</w:t>
            </w:r>
          </w:p>
        </w:tc>
        <w:tc>
          <w:tcPr>
            <w:tcW w:type="dxa" w:w="1514"/>
          </w:tcPr>
          <w:p>
            <w:pPr>
              <w:spacing w:before="20" w:after="20"/>
            </w:pPr>
            <w:r/>
            <w:r>
              <w:rPr>
                <w:rFonts w:ascii="Verdana" w:hAnsi="Verdana"/>
                <w:b w:val="0"/>
                <w:sz w:val="16"/>
              </w:rPr>
              <w:t>Direction du transport principal dans les eaux souterraines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0 23 031</w:t>
            </w:r>
          </w:p>
        </w:tc>
        <w:tc>
          <w:tcPr>
            <w:tcW w:type="dxa" w:w="1514"/>
          </w:tcPr>
          <w:p>
            <w:pPr>
              <w:spacing w:before="20" w:after="20"/>
            </w:pPr>
            <w:r/>
            <w:r>
              <w:rPr>
                <w:rFonts w:ascii="Verdana" w:hAnsi="Verdana"/>
                <w:b w:val="0"/>
                <w:sz w:val="16"/>
              </w:rPr>
              <w:t>Possibilité que le panache rencontre des précipitations dans l'état où l'incident s'est produit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0 23 032</w:t>
            </w:r>
          </w:p>
        </w:tc>
        <w:tc>
          <w:tcPr>
            <w:tcW w:type="dxa" w:w="1514"/>
          </w:tcPr>
          <w:p>
            <w:pPr>
              <w:spacing w:before="20" w:after="20"/>
            </w:pPr>
            <w:r/>
            <w:r>
              <w:rPr>
                <w:rFonts w:ascii="Verdana" w:hAnsi="Verdana"/>
                <w:b w:val="0"/>
                <w:sz w:val="16"/>
              </w:rPr>
              <w:t>Possibilité que le panache soit affecté par un changement de direction et/ou de vitesse du vent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0 23 040</w:t>
            </w:r>
          </w:p>
        </w:tc>
        <w:tc>
          <w:tcPr>
            <w:tcW w:type="dxa" w:w="1514"/>
          </w:tcPr>
          <w:p>
            <w:pPr>
              <w:spacing w:before="20" w:after="20"/>
            </w:pPr>
            <w:r/>
            <w:r>
              <w:rPr>
                <w:rFonts w:ascii="Verdana" w:hAnsi="Verdana"/>
                <w:b w:val="0"/>
                <w:sz w:val="16"/>
              </w:rPr>
              <w:t>Débit - cours d'eau</w:t>
            </w:r>
          </w:p>
        </w:tc>
        <w:tc>
          <w:tcPr>
            <w:tcW w:type="dxa" w:w="1514"/>
          </w:tcPr>
          <w:p>
            <w:pPr>
              <w:spacing w:before="20" w:after="20"/>
            </w:pPr>
            <w:r/>
            <w:r>
              <w:rPr>
                <w:rFonts w:ascii="Verdana" w:hAnsi="Verdana"/>
                <w:sz w:val="16"/>
              </w:rPr>
              <w:t>m</w:t>
            </w:r>
            <w:r>
              <w:rPr>
                <w:rFonts w:ascii="Verdana" w:hAnsi="Verdana"/>
                <w:sz w:val="16"/>
                <w:vertAlign w:val="superscript"/>
              </w:rPr>
              <w:t>3</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r>
              <w:rPr>
                <w:rFonts w:ascii="Verdana" w:hAnsi="Verdana"/>
                <w:sz w:val="16"/>
                <w:vertAlign w:val="superscript"/>
              </w:rPr>
              <w:t>3</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0 23 041</w:t>
            </w:r>
          </w:p>
        </w:tc>
        <w:tc>
          <w:tcPr>
            <w:tcW w:type="dxa" w:w="1514"/>
          </w:tcPr>
          <w:p>
            <w:pPr>
              <w:spacing w:before="20" w:after="20"/>
            </w:pPr>
            <w:r/>
            <w:r>
              <w:rPr>
                <w:rFonts w:ascii="Verdana" w:hAnsi="Verdana"/>
                <w:b w:val="0"/>
                <w:sz w:val="16"/>
              </w:rPr>
              <w:t>Débit - puits</w:t>
            </w:r>
          </w:p>
        </w:tc>
        <w:tc>
          <w:tcPr>
            <w:tcW w:type="dxa" w:w="1514"/>
          </w:tcPr>
          <w:p>
            <w:pPr>
              <w:spacing w:before="20" w:after="20"/>
            </w:pPr>
            <w:r/>
            <w:r>
              <w:rPr>
                <w:rFonts w:ascii="Verdana" w:hAnsi="Verdana"/>
                <w:sz w:val="16"/>
              </w:rPr>
              <w:t>m</w:t>
            </w:r>
            <w:r>
              <w:rPr>
                <w:rFonts w:ascii="Verdana" w:hAnsi="Verdana"/>
                <w:sz w:val="16"/>
                <w:vertAlign w:val="superscript"/>
              </w:rPr>
              <w:t>3</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r>
              <w:rPr>
                <w:rFonts w:ascii="Verdana" w:hAnsi="Verdana"/>
                <w:sz w:val="16"/>
                <w:vertAlign w:val="superscript"/>
              </w:rPr>
              <w:t>3</w:t>
            </w:r>
            <w:r>
              <w:rPr>
                <w:rFonts w:ascii="Verdana" w:hAnsi="Verdana"/>
                <w:sz w:val="16"/>
              </w:rPr>
              <w:t xml:space="preserve"> s</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