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27 : Position d'éléments autres que des coordonnées (horizontale - 1)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0 27 001</w:t>
            </w:r>
          </w:p>
        </w:tc>
        <w:tc>
          <w:tcPr>
            <w:tcW w:type="dxa" w:w="1514"/>
          </w:tcPr>
          <w:p>
            <w:pPr>
              <w:spacing w:before="20" w:after="20"/>
            </w:pPr>
            <w:r/>
            <w:r>
              <w:rPr>
                <w:rFonts w:ascii="Verdana" w:hAnsi="Verdana"/>
                <w:b w:val="0"/>
                <w:sz w:val="16"/>
              </w:rPr>
              <w:t>Latitude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0 27 002</w:t>
            </w:r>
          </w:p>
        </w:tc>
        <w:tc>
          <w:tcPr>
            <w:tcW w:type="dxa" w:w="1514"/>
          </w:tcPr>
          <w:p>
            <w:pPr>
              <w:spacing w:before="20" w:after="20"/>
            </w:pPr>
            <w:r/>
            <w:r>
              <w:rPr>
                <w:rFonts w:ascii="Verdana" w:hAnsi="Verdana"/>
                <w:b w:val="0"/>
                <w:sz w:val="16"/>
              </w:rPr>
              <w:t>Latitude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0 27 003</w:t>
            </w:r>
          </w:p>
        </w:tc>
        <w:tc>
          <w:tcPr>
            <w:tcW w:type="dxa" w:w="1514"/>
          </w:tcPr>
          <w:p>
            <w:pPr>
              <w:spacing w:before="20" w:after="20"/>
            </w:pPr>
            <w:r/>
            <w:r>
              <w:rPr>
                <w:rFonts w:ascii="Verdana" w:hAnsi="Verdana"/>
                <w:b w:val="0"/>
                <w:sz w:val="16"/>
              </w:rPr>
              <w:t>Autre latitude possible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132: Une «autre latitude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0 27 004</w:t>
            </w:r>
          </w:p>
        </w:tc>
        <w:tc>
          <w:tcPr>
            <w:tcW w:type="dxa" w:w="1514"/>
          </w:tcPr>
          <w:p>
            <w:pPr>
              <w:spacing w:before="20" w:after="20"/>
            </w:pPr>
            <w:r/>
            <w:r>
              <w:rPr>
                <w:rFonts w:ascii="Verdana" w:hAnsi="Verdana"/>
                <w:b w:val="0"/>
                <w:sz w:val="16"/>
              </w:rPr>
              <w:t>Autre latitude possible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132: Une «autre latitude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0 27 010</w:t>
            </w:r>
          </w:p>
        </w:tc>
        <w:tc>
          <w:tcPr>
            <w:tcW w:type="dxa" w:w="1514"/>
          </w:tcPr>
          <w:p>
            <w:pPr>
              <w:spacing w:before="20" w:after="20"/>
            </w:pPr>
            <w:r/>
            <w:r>
              <w:rPr>
                <w:rFonts w:ascii="Verdana" w:hAnsi="Verdana"/>
                <w:b w:val="0"/>
                <w:sz w:val="16"/>
              </w:rPr>
              <w:t>Axe de l'empreinte 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0 27 020</w:t>
            </w:r>
          </w:p>
        </w:tc>
        <w:tc>
          <w:tcPr>
            <w:tcW w:type="dxa" w:w="1514"/>
          </w:tcPr>
          <w:p>
            <w:pPr>
              <w:spacing w:before="20" w:after="20"/>
            </w:pPr>
            <w:r/>
            <w:r>
              <w:rPr>
                <w:rFonts w:ascii="Verdana" w:hAnsi="Verdana"/>
                <w:b w:val="0"/>
                <w:sz w:val="16"/>
              </w:rPr>
              <w:t>Compteur de position des satellites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143: Le compteur de position des satellites est calculé comme suit: compteur = numéro du couloir large balayé x 1000 + numéro de case x 10 + numéro de minicase</w:t>
            </w:r>
          </w:p>
        </w:tc>
      </w:tr>
      <w:tr>
        <w:trPr>
          <w:cantSplit/>
        </w:trPr>
        <w:tc>
          <w:tcPr>
            <w:tcW w:type="dxa" w:w="1514"/>
          </w:tcPr>
          <w:p>
            <w:pPr>
              <w:spacing w:before="20" w:after="20"/>
            </w:pPr>
            <w:r/>
            <w:r>
              <w:rPr>
                <w:rFonts w:ascii="Verdana" w:hAnsi="Verdana"/>
                <w:b w:val="0"/>
                <w:sz w:val="16"/>
              </w:rPr>
              <w:t>0 27 021</w:t>
            </w:r>
          </w:p>
        </w:tc>
        <w:tc>
          <w:tcPr>
            <w:tcW w:type="dxa" w:w="1514"/>
          </w:tcPr>
          <w:p>
            <w:pPr>
              <w:spacing w:before="20" w:after="20"/>
            </w:pPr>
            <w:r/>
            <w:r>
              <w:rPr>
                <w:rFonts w:ascii="Verdana" w:hAnsi="Verdana"/>
                <w:b w:val="0"/>
                <w:sz w:val="16"/>
              </w:rPr>
              <w:t>Dimension de sous-position des satellites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144: La dimension de sous-position des satellites est calculée comme suit: dimension = dimension de minicase + dimension de case où: dimension de minicase = lignes x 1000 + points x 100 dimension de case = lignes x 10 + points</w:t>
            </w:r>
          </w:p>
        </w:tc>
      </w:tr>
      <w:tr>
        <w:trPr>
          <w:cantSplit/>
        </w:trPr>
        <w:tc>
          <w:tcPr>
            <w:tcW w:type="dxa" w:w="1514"/>
          </w:tcPr>
          <w:p>
            <w:pPr>
              <w:spacing w:before="20" w:after="20"/>
            </w:pPr>
            <w:r/>
            <w:r>
              <w:rPr>
                <w:rFonts w:ascii="Verdana" w:hAnsi="Verdana"/>
                <w:b w:val="0"/>
                <w:sz w:val="16"/>
              </w:rPr>
              <w:t>0 27 031</w:t>
            </w:r>
          </w:p>
        </w:tc>
        <w:tc>
          <w:tcPr>
            <w:tcW w:type="dxa" w:w="1514"/>
          </w:tcPr>
          <w:p>
            <w:pPr>
              <w:spacing w:before="20" w:after="20"/>
            </w:pPr>
            <w:r/>
            <w:r>
              <w:rPr>
                <w:rFonts w:ascii="Verdana" w:hAnsi="Verdana"/>
                <w:b w:val="0"/>
                <w:sz w:val="16"/>
              </w:rPr>
              <w:t>En direction d'une longitude de 0°, distance à partir du centre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96: Des axes x y z situés à gauche ont été choisis pour le descripteur 0 27 031. | Note 151: La valeur du descripteur 0 27 031 a été sélectionnée de façon à convenir pour des satellites à orbite polaire plus ou moins synchrone avec le Soleil. Des orbites géostationnaires nécessiteraient des champs de données plus grands en ce qui concerne la distance et légèrement moins grands en ce qui concerne la vitesse.</w:t>
            </w:r>
          </w:p>
        </w:tc>
      </w:tr>
      <w:tr>
        <w:trPr>
          <w:cantSplit/>
        </w:trPr>
        <w:tc>
          <w:tcPr>
            <w:tcW w:type="dxa" w:w="1514"/>
          </w:tcPr>
          <w:p>
            <w:pPr>
              <w:spacing w:before="20" w:after="20"/>
            </w:pPr>
            <w:r/>
            <w:r>
              <w:rPr>
                <w:rFonts w:ascii="Verdana" w:hAnsi="Verdana"/>
                <w:b w:val="0"/>
                <w:sz w:val="16"/>
              </w:rPr>
              <w:t>0 27 079</w:t>
            </w:r>
          </w:p>
        </w:tc>
        <w:tc>
          <w:tcPr>
            <w:tcW w:type="dxa" w:w="1514"/>
          </w:tcPr>
          <w:p>
            <w:pPr>
              <w:spacing w:before="20" w:after="20"/>
            </w:pPr>
            <w:r/>
            <w:r>
              <w:rPr>
                <w:rFonts w:ascii="Verdana" w:hAnsi="Verdana"/>
                <w:b w:val="0"/>
                <w:sz w:val="16"/>
              </w:rPr>
              <w:t>Largeur horizontale du volume échantillonné</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0 27 080</w:t>
            </w:r>
          </w:p>
        </w:tc>
        <w:tc>
          <w:tcPr>
            <w:tcW w:type="dxa" w:w="1514"/>
          </w:tcPr>
          <w:p>
            <w:pPr>
              <w:spacing w:before="20" w:after="20"/>
            </w:pPr>
            <w:r/>
            <w:r>
              <w:rPr>
                <w:rFonts w:ascii="Verdana" w:hAnsi="Verdana"/>
                <w:b w:val="0"/>
                <w:sz w:val="16"/>
              </w:rPr>
              <w:t>Azimut de la viséee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