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33 : Informations sur la qualité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0 33 002</w:t>
            </w:r>
          </w:p>
        </w:tc>
        <w:tc>
          <w:tcPr>
            <w:tcW w:type="dxa" w:w="1514"/>
          </w:tcPr>
          <w:p>
            <w:pPr>
              <w:spacing w:before="20" w:after="20"/>
            </w:pPr>
            <w:r/>
            <w:r>
              <w:rPr>
                <w:rFonts w:ascii="Verdana" w:hAnsi="Verdana"/>
                <w:b w:val="0"/>
                <w:sz w:val="16"/>
              </w:rPr>
              <w:t>Informations sur la qualité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0 33 003</w:t>
            </w:r>
          </w:p>
        </w:tc>
        <w:tc>
          <w:tcPr>
            <w:tcW w:type="dxa" w:w="1514"/>
          </w:tcPr>
          <w:p>
            <w:pPr>
              <w:spacing w:before="20" w:after="20"/>
            </w:pPr>
            <w:r/>
            <w:r>
              <w:rPr>
                <w:rFonts w:ascii="Verdana" w:hAnsi="Verdana"/>
                <w:b w:val="0"/>
                <w:sz w:val="16"/>
              </w:rPr>
              <w:t>Informations sur la qualité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0 33 005</w:t>
            </w:r>
          </w:p>
        </w:tc>
        <w:tc>
          <w:tcPr>
            <w:tcW w:type="dxa" w:w="1514"/>
          </w:tcPr>
          <w:p>
            <w:pPr>
              <w:spacing w:before="20" w:after="20"/>
            </w:pPr>
            <w:r/>
            <w:r>
              <w:rPr>
                <w:rFonts w:ascii="Verdana" w:hAnsi="Verdana"/>
                <w:b w:val="0"/>
                <w:sz w:val="16"/>
              </w:rPr>
              <w:t>Informations sur la qualité (données des stations météorologiques automatiques)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0 33 006</w:t>
            </w:r>
          </w:p>
        </w:tc>
        <w:tc>
          <w:tcPr>
            <w:tcW w:type="dxa" w:w="1514"/>
          </w:tcPr>
          <w:p>
            <w:pPr>
              <w:spacing w:before="20" w:after="20"/>
            </w:pPr>
            <w:r/>
            <w:r>
              <w:rPr>
                <w:rFonts w:ascii="Verdana" w:hAnsi="Verdana"/>
                <w:b w:val="0"/>
                <w:sz w:val="16"/>
              </w:rPr>
              <w:t>Informations sur la situation interne des mesures (stations météorologiques automatiques)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0 33 007</w:t>
            </w:r>
          </w:p>
        </w:tc>
        <w:tc>
          <w:tcPr>
            <w:tcW w:type="dxa" w:w="1514"/>
          </w:tcPr>
          <w:p>
            <w:pPr>
              <w:spacing w:before="20" w:after="20"/>
            </w:pPr>
            <w:r/>
            <w:r>
              <w:rPr>
                <w:rFonts w:ascii="Verdana" w:hAnsi="Verdana"/>
                <w:b w:val="0"/>
                <w:sz w:val="16"/>
              </w:rPr>
              <w:t>Degré de confiance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0 33 015</w:t>
            </w:r>
          </w:p>
        </w:tc>
        <w:tc>
          <w:tcPr>
            <w:tcW w:type="dxa" w:w="1514"/>
          </w:tcPr>
          <w:p>
            <w:pPr>
              <w:spacing w:before="20" w:after="20"/>
            </w:pPr>
            <w:r/>
            <w:r>
              <w:rPr>
                <w:rFonts w:ascii="Verdana" w:hAnsi="Verdana"/>
                <w:b w:val="0"/>
                <w:sz w:val="16"/>
              </w:rPr>
              <w:t>Indicateur de vérification de la qualité des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0 33 020</w:t>
            </w:r>
          </w:p>
        </w:tc>
        <w:tc>
          <w:tcPr>
            <w:tcW w:type="dxa" w:w="1514"/>
          </w:tcPr>
          <w:p>
            <w:pPr>
              <w:spacing w:before="20" w:after="20"/>
            </w:pPr>
            <w:r/>
            <w:r>
              <w:rPr>
                <w:rFonts w:ascii="Verdana" w:hAnsi="Verdana"/>
                <w:b w:val="0"/>
                <w:sz w:val="16"/>
              </w:rPr>
              <w:t>Indication du contrôle de la qualité de la valeur suivante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0 33 021</w:t>
            </w:r>
          </w:p>
        </w:tc>
        <w:tc>
          <w:tcPr>
            <w:tcW w:type="dxa" w:w="1514"/>
          </w:tcPr>
          <w:p>
            <w:pPr>
              <w:spacing w:before="20" w:after="20"/>
            </w:pPr>
            <w:r/>
            <w:r>
              <w:rPr>
                <w:rFonts w:ascii="Verdana" w:hAnsi="Verdana"/>
                <w:b w:val="0"/>
                <w:sz w:val="16"/>
              </w:rPr>
              <w:t>Qualité de la valeur suivante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0 33 022</w:t>
            </w:r>
          </w:p>
        </w:tc>
        <w:tc>
          <w:tcPr>
            <w:tcW w:type="dxa" w:w="1514"/>
          </w:tcPr>
          <w:p>
            <w:pPr>
              <w:spacing w:before="20" w:after="20"/>
            </w:pPr>
            <w:r/>
            <w:r>
              <w:rPr>
                <w:rFonts w:ascii="Verdana" w:hAnsi="Verdana"/>
                <w:b w:val="0"/>
                <w:sz w:val="16"/>
              </w:rPr>
              <w:t>Qualité de la transmission par satellite des données provenant de bouées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0 33 023</w:t>
            </w:r>
          </w:p>
        </w:tc>
        <w:tc>
          <w:tcPr>
            <w:tcW w:type="dxa" w:w="1514"/>
          </w:tcPr>
          <w:p>
            <w:pPr>
              <w:spacing w:before="20" w:after="20"/>
            </w:pPr>
            <w:r/>
            <w:r>
              <w:rPr>
                <w:rFonts w:ascii="Verdana" w:hAnsi="Verdana"/>
                <w:b w:val="0"/>
                <w:sz w:val="16"/>
              </w:rPr>
              <w:t>Qualité de l'emplacement de la bouée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0 33 024</w:t>
            </w:r>
          </w:p>
        </w:tc>
        <w:tc>
          <w:tcPr>
            <w:tcW w:type="dxa" w:w="1514"/>
          </w:tcPr>
          <w:p>
            <w:pPr>
              <w:spacing w:before="20" w:after="20"/>
            </w:pPr>
            <w:r/>
            <w:r>
              <w:rPr>
                <w:rFonts w:ascii="Verdana" w:hAnsi="Verdana"/>
                <w:b w:val="0"/>
                <w:sz w:val="16"/>
              </w:rPr>
              <w:t>Repère de qualité de l'altitude de la station (pour les stations mobiles)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0 33 025</w:t>
            </w:r>
          </w:p>
        </w:tc>
        <w:tc>
          <w:tcPr>
            <w:tcW w:type="dxa" w:w="1514"/>
          </w:tcPr>
          <w:p>
            <w:pPr>
              <w:spacing w:before="20" w:after="20"/>
            </w:pPr>
            <w:r/>
            <w:r>
              <w:rPr>
                <w:rFonts w:ascii="Verdana" w:hAnsi="Verdana"/>
                <w:b w:val="0"/>
                <w:sz w:val="16"/>
              </w:rPr>
              <w:t>Indicateur de valeurs A CARS interpolées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0 33 026</w:t>
            </w:r>
          </w:p>
        </w:tc>
        <w:tc>
          <w:tcPr>
            <w:tcW w:type="dxa" w:w="1514"/>
          </w:tcPr>
          <w:p>
            <w:pPr>
              <w:spacing w:before="20" w:after="20"/>
            </w:pPr>
            <w:r/>
            <w:r>
              <w:rPr>
                <w:rFonts w:ascii="Verdana" w:hAnsi="Verdana"/>
                <w:b w:val="0"/>
                <w:sz w:val="16"/>
              </w:rPr>
              <w:t>Qualité de la mesure de l'humidité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0 33 027</w:t>
            </w:r>
          </w:p>
        </w:tc>
        <w:tc>
          <w:tcPr>
            <w:tcW w:type="dxa" w:w="1514"/>
          </w:tcPr>
          <w:p>
            <w:pPr>
              <w:spacing w:before="20" w:after="20"/>
            </w:pPr>
            <w:r/>
            <w:r>
              <w:rPr>
                <w:rFonts w:ascii="Verdana" w:hAnsi="Verdana"/>
                <w:b w:val="0"/>
                <w:sz w:val="16"/>
              </w:rPr>
              <w:t>Classe de qualité concernant la position (rayon de certitude à 66 %)</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0 33 028</w:t>
            </w:r>
          </w:p>
        </w:tc>
        <w:tc>
          <w:tcPr>
            <w:tcW w:type="dxa" w:w="1514"/>
          </w:tcPr>
          <w:p>
            <w:pPr>
              <w:spacing w:before="20" w:after="20"/>
            </w:pPr>
            <w:r/>
            <w:r>
              <w:rPr>
                <w:rFonts w:ascii="Verdana" w:hAnsi="Verdana"/>
                <w:b w:val="0"/>
                <w:sz w:val="16"/>
              </w:rPr>
              <w:t>Qualité globale de l'instantané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0 33 030</w:t>
            </w:r>
          </w:p>
        </w:tc>
        <w:tc>
          <w:tcPr>
            <w:tcW w:type="dxa" w:w="1514"/>
          </w:tcPr>
          <w:p>
            <w:pPr>
              <w:spacing w:before="20" w:after="20"/>
            </w:pPr>
            <w:r/>
            <w:r>
              <w:rPr>
                <w:rFonts w:ascii="Verdana" w:hAnsi="Verdana"/>
                <w:b w:val="0"/>
                <w:sz w:val="16"/>
              </w:rPr>
              <w:t>Indicateurs d'état pour la ligne de balayage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0 33 031</w:t>
            </w:r>
          </w:p>
        </w:tc>
        <w:tc>
          <w:tcPr>
            <w:tcW w:type="dxa" w:w="1514"/>
          </w:tcPr>
          <w:p>
            <w:pPr>
              <w:spacing w:before="20" w:after="20"/>
            </w:pPr>
            <w:r/>
            <w:r>
              <w:rPr>
                <w:rFonts w:ascii="Verdana" w:hAnsi="Verdana"/>
                <w:b w:val="0"/>
                <w:sz w:val="16"/>
              </w:rPr>
              <w:t>Indicateurs de qualité de la ligne de balayage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0 33 032</w:t>
            </w:r>
          </w:p>
        </w:tc>
        <w:tc>
          <w:tcPr>
            <w:tcW w:type="dxa" w:w="1514"/>
          </w:tcPr>
          <w:p>
            <w:pPr>
              <w:spacing w:before="20" w:after="20"/>
            </w:pPr>
            <w:r/>
            <w:r>
              <w:rPr>
                <w:rFonts w:ascii="Verdana" w:hAnsi="Verdana"/>
                <w:b w:val="0"/>
                <w:sz w:val="16"/>
              </w:rPr>
              <w:t>Indicateurs de qualité du canal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0 33 033</w:t>
            </w:r>
          </w:p>
        </w:tc>
        <w:tc>
          <w:tcPr>
            <w:tcW w:type="dxa" w:w="1514"/>
          </w:tcPr>
          <w:p>
            <w:pPr>
              <w:spacing w:before="20" w:after="20"/>
            </w:pPr>
            <w:r/>
            <w:r>
              <w:rPr>
                <w:rFonts w:ascii="Verdana" w:hAnsi="Verdana"/>
                <w:b w:val="0"/>
                <w:sz w:val="16"/>
              </w:rPr>
              <w:t>Indicateurs de qualité du champ de vision du sondeur ATOVS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0 33 035</w:t>
            </w:r>
          </w:p>
        </w:tc>
        <w:tc>
          <w:tcPr>
            <w:tcW w:type="dxa" w:w="1514"/>
          </w:tcPr>
          <w:p>
            <w:pPr>
              <w:spacing w:before="20" w:after="20"/>
            </w:pPr>
            <w:r/>
            <w:r>
              <w:rPr>
                <w:rFonts w:ascii="Verdana" w:hAnsi="Verdana"/>
                <w:b w:val="0"/>
                <w:sz w:val="16"/>
              </w:rPr>
              <w:t>Contrôle de qualité manuel/automatique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0 33 036</w:t>
            </w:r>
          </w:p>
        </w:tc>
        <w:tc>
          <w:tcPr>
            <w:tcW w:type="dxa" w:w="1514"/>
          </w:tcPr>
          <w:p>
            <w:pPr>
              <w:spacing w:before="20" w:after="20"/>
            </w:pPr>
            <w:r/>
            <w:r>
              <w:rPr>
                <w:rFonts w:ascii="Verdana" w:hAnsi="Verdana"/>
                <w:b w:val="0"/>
                <w:sz w:val="16"/>
              </w:rPr>
              <w:t>Seuil de confiance nominal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0 33 037</w:t>
            </w:r>
          </w:p>
        </w:tc>
        <w:tc>
          <w:tcPr>
            <w:tcW w:type="dxa" w:w="1514"/>
          </w:tcPr>
          <w:p>
            <w:pPr>
              <w:spacing w:before="20" w:after="20"/>
            </w:pPr>
            <w:r/>
            <w:r>
              <w:rPr>
                <w:rFonts w:ascii="Verdana" w:hAnsi="Verdana"/>
                <w:b w:val="0"/>
                <w:sz w:val="16"/>
              </w:rPr>
              <w:t>Facteur de corrélation des vents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0 33 038</w:t>
            </w:r>
          </w:p>
        </w:tc>
        <w:tc>
          <w:tcPr>
            <w:tcW w:type="dxa" w:w="1514"/>
          </w:tcPr>
          <w:p>
            <w:pPr>
              <w:spacing w:before="20" w:after="20"/>
            </w:pPr>
            <w:r/>
            <w:r>
              <w:rPr>
                <w:rFonts w:ascii="Verdana" w:hAnsi="Verdana"/>
                <w:b w:val="0"/>
                <w:sz w:val="16"/>
              </w:rPr>
              <w:t>Indicateurs de qualité pour les données d'observation au sol du GNSS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0 33 039</w:t>
            </w:r>
          </w:p>
        </w:tc>
        <w:tc>
          <w:tcPr>
            <w:tcW w:type="dxa" w:w="1514"/>
          </w:tcPr>
          <w:p>
            <w:pPr>
              <w:spacing w:before="20" w:after="20"/>
            </w:pPr>
            <w:r/>
            <w:r>
              <w:rPr>
                <w:rFonts w:ascii="Verdana" w:hAnsi="Verdana"/>
                <w:b w:val="0"/>
                <w:sz w:val="16"/>
              </w:rPr>
              <w:t>Indicateurs de qualité pour les données d'occultation radio</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0 33 040</w:t>
            </w:r>
          </w:p>
        </w:tc>
        <w:tc>
          <w:tcPr>
            <w:tcW w:type="dxa" w:w="1514"/>
          </w:tcPr>
          <w:p>
            <w:pPr>
              <w:spacing w:before="20" w:after="20"/>
            </w:pPr>
            <w:r/>
            <w:r>
              <w:rPr>
                <w:rFonts w:ascii="Verdana" w:hAnsi="Verdana"/>
                <w:b w:val="0"/>
                <w:sz w:val="16"/>
              </w:rPr>
              <w:t>Intervalle de confiance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0 33 041</w:t>
            </w:r>
          </w:p>
        </w:tc>
        <w:tc>
          <w:tcPr>
            <w:tcW w:type="dxa" w:w="1514"/>
          </w:tcPr>
          <w:p>
            <w:pPr>
              <w:spacing w:before="20" w:after="20"/>
            </w:pPr>
            <w:r/>
            <w:r>
              <w:rPr>
                <w:rFonts w:ascii="Verdana" w:hAnsi="Verdana"/>
                <w:b w:val="0"/>
                <w:sz w:val="16"/>
              </w:rPr>
              <w:t>Caractéristique de la valeur suivante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0 33 042</w:t>
            </w:r>
          </w:p>
        </w:tc>
        <w:tc>
          <w:tcPr>
            <w:tcW w:type="dxa" w:w="1514"/>
          </w:tcPr>
          <w:p>
            <w:pPr>
              <w:spacing w:before="20" w:after="20"/>
            </w:pPr>
            <w:r/>
            <w:r>
              <w:rPr>
                <w:rFonts w:ascii="Verdana" w:hAnsi="Verdana"/>
                <w:b w:val="0"/>
                <w:sz w:val="16"/>
              </w:rPr>
              <w:t>Type de limite représentée par la valeur qui suit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0 33 043</w:t>
            </w:r>
          </w:p>
        </w:tc>
        <w:tc>
          <w:tcPr>
            <w:tcW w:type="dxa" w:w="1514"/>
          </w:tcPr>
          <w:p>
            <w:pPr>
              <w:spacing w:before="20" w:after="20"/>
            </w:pPr>
            <w:r/>
            <w:r>
              <w:rPr>
                <w:rFonts w:ascii="Verdana" w:hAnsi="Verdana"/>
                <w:b w:val="0"/>
                <w:sz w:val="16"/>
              </w:rPr>
              <w:t>Degré de confiance de la température moyenne en surface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0 33 044</w:t>
            </w:r>
          </w:p>
        </w:tc>
        <w:tc>
          <w:tcPr>
            <w:tcW w:type="dxa" w:w="1514"/>
          </w:tcPr>
          <w:p>
            <w:pPr>
              <w:spacing w:before="20" w:after="20"/>
            </w:pPr>
            <w:r/>
            <w:r>
              <w:rPr>
                <w:rFonts w:ascii="Verdana" w:hAnsi="Verdana"/>
                <w:b w:val="0"/>
                <w:sz w:val="16"/>
              </w:rPr>
              <w:t>Qualité des données de l'ASAR</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0 33 045</w:t>
            </w:r>
          </w:p>
        </w:tc>
        <w:tc>
          <w:tcPr>
            <w:tcW w:type="dxa" w:w="1514"/>
          </w:tcPr>
          <w:p>
            <w:pPr>
              <w:spacing w:before="20" w:after="20"/>
            </w:pPr>
            <w:r/>
            <w:r>
              <w:rPr>
                <w:rFonts w:ascii="Verdana" w:hAnsi="Verdana"/>
                <w:b w:val="0"/>
                <w:sz w:val="16"/>
              </w:rPr>
              <w:t>Probabilité du phénomène qui suit (voir les notes 1 et 3)</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168: Lorsque l’on définit un phénomène auquel s’applique le descripteur 0 33 045 ou 0 33 046, il est possible d’employer le descripteur 0 33 042 pour indiquer que la valeur qui suit constitue une limite pour une fourchette de valeurs. | Note 173: L’emploi du descripteur 0 33 045 ou 0 33 046 nécessite l’opérateur 2 41 000 pour définir le phénomène suivant auquel s’applique la probabilité indiquée.</w:t>
            </w:r>
          </w:p>
        </w:tc>
      </w:tr>
      <w:tr>
        <w:trPr>
          <w:cantSplit/>
        </w:trPr>
        <w:tc>
          <w:tcPr>
            <w:tcW w:type="dxa" w:w="1514"/>
          </w:tcPr>
          <w:p>
            <w:pPr>
              <w:spacing w:before="20" w:after="20"/>
            </w:pPr>
            <w:r/>
            <w:r>
              <w:rPr>
                <w:rFonts w:ascii="Verdana" w:hAnsi="Verdana"/>
                <w:b w:val="0"/>
                <w:sz w:val="16"/>
              </w:rPr>
              <w:t>0 33 046</w:t>
            </w:r>
          </w:p>
        </w:tc>
        <w:tc>
          <w:tcPr>
            <w:tcW w:type="dxa" w:w="1514"/>
          </w:tcPr>
          <w:p>
            <w:pPr>
              <w:spacing w:before="20" w:after="20"/>
            </w:pPr>
            <w:r/>
            <w:r>
              <w:rPr>
                <w:rFonts w:ascii="Verdana" w:hAnsi="Verdana"/>
                <w:b w:val="0"/>
                <w:sz w:val="16"/>
              </w:rPr>
              <w:t>Probabilité conditionnelle du phénomène qui suit en fonction du phénomène associé indiqué (voir les notes 1, 2 et 3)</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168: Lorsque l’on définit un phénomène auquel s’applique le descripteur 0 33 045 ou 0 33 046, il est possible d’employer le descripteur 0 33 042 pour indiquer que la valeur qui suit constitue une limite pour une fourchette de valeurs. | Note 173: L’emploi du descripteur 0 33 045 ou 0 33 046 nécessite l’opérateur 2 41 000 pour définir le phénomène suivant auquel s’applique la probabilité indiquée. | Note 174: Quand il est employé, le descripteur 0 33 046 doit être précédé de l’opérateur 2 42 000 qui permet de définir le phénomène associé qui conditionne celui auquel s’applique la probabilité indiquée.</w:t>
            </w:r>
          </w:p>
        </w:tc>
      </w:tr>
      <w:tr>
        <w:trPr>
          <w:cantSplit/>
        </w:trPr>
        <w:tc>
          <w:tcPr>
            <w:tcW w:type="dxa" w:w="1514"/>
          </w:tcPr>
          <w:p>
            <w:pPr>
              <w:spacing w:before="20" w:after="20"/>
            </w:pPr>
            <w:r/>
            <w:r>
              <w:rPr>
                <w:rFonts w:ascii="Verdana" w:hAnsi="Verdana"/>
                <w:b w:val="0"/>
                <w:sz w:val="16"/>
              </w:rPr>
              <w:t>0 33 047</w:t>
            </w:r>
          </w:p>
        </w:tc>
        <w:tc>
          <w:tcPr>
            <w:tcW w:type="dxa" w:w="1514"/>
          </w:tcPr>
          <w:p>
            <w:pPr>
              <w:spacing w:before="20" w:after="20"/>
            </w:pPr>
            <w:r/>
            <w:r>
              <w:rPr>
                <w:rFonts w:ascii="Verdana" w:hAnsi="Verdana"/>
                <w:b w:val="0"/>
                <w:sz w:val="16"/>
              </w:rPr>
              <w:t>Degré de confiance des mesures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0 33 048</w:t>
            </w:r>
          </w:p>
        </w:tc>
        <w:tc>
          <w:tcPr>
            <w:tcW w:type="dxa" w:w="1514"/>
          </w:tcPr>
          <w:p>
            <w:pPr>
              <w:spacing w:before="20" w:after="20"/>
            </w:pPr>
            <w:r/>
            <w:r>
              <w:rPr>
                <w:rFonts w:ascii="Verdana" w:hAnsi="Verdana"/>
                <w:b w:val="0"/>
                <w:sz w:val="16"/>
              </w:rPr>
              <w:t>Degré de confiance pour l'inversion SAR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0 33 049</w:t>
            </w:r>
          </w:p>
        </w:tc>
        <w:tc>
          <w:tcPr>
            <w:tcW w:type="dxa" w:w="1514"/>
          </w:tcPr>
          <w:p>
            <w:pPr>
              <w:spacing w:before="20" w:after="20"/>
            </w:pPr>
            <w:r/>
            <w:r>
              <w:rPr>
                <w:rFonts w:ascii="Verdana" w:hAnsi="Verdana"/>
                <w:b w:val="0"/>
                <w:sz w:val="16"/>
              </w:rPr>
              <w:t>Degré de confiance pour l'extraction du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0 33 050</w:t>
            </w:r>
          </w:p>
        </w:tc>
        <w:tc>
          <w:tcPr>
            <w:tcW w:type="dxa" w:w="1514"/>
          </w:tcPr>
          <w:p>
            <w:pPr>
              <w:spacing w:before="20" w:after="20"/>
            </w:pPr>
            <w:r/>
            <w:r>
              <w:rPr>
                <w:rFonts w:ascii="Verdana" w:hAnsi="Verdana"/>
                <w:b w:val="0"/>
                <w:sz w:val="16"/>
              </w:rPr>
              <w:t>Indicateur de qualité global pour le GTSPP</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0 33 052</w:t>
            </w:r>
          </w:p>
        </w:tc>
        <w:tc>
          <w:tcPr>
            <w:tcW w:type="dxa" w:w="1514"/>
          </w:tcPr>
          <w:p>
            <w:pPr>
              <w:spacing w:before="20" w:after="20"/>
            </w:pPr>
            <w:r/>
            <w:r>
              <w:rPr>
                <w:rFonts w:ascii="Verdana" w:hAnsi="Verdana"/>
                <w:b w:val="0"/>
                <w:sz w:val="16"/>
              </w:rPr>
              <w:t>Qualité du retraitement des données océaniques en bande 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0 33 053</w:t>
            </w:r>
          </w:p>
        </w:tc>
        <w:tc>
          <w:tcPr>
            <w:tcW w:type="dxa" w:w="1514"/>
          </w:tcPr>
          <w:p>
            <w:pPr>
              <w:spacing w:before="20" w:after="20"/>
            </w:pPr>
            <w:r/>
            <w:r>
              <w:rPr>
                <w:rFonts w:ascii="Verdana" w:hAnsi="Verdana"/>
                <w:b w:val="0"/>
                <w:sz w:val="16"/>
              </w:rPr>
              <w:t>Qualité du retraitement des données océaniques en bande Ku</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0 33 060</w:t>
            </w:r>
          </w:p>
        </w:tc>
        <w:tc>
          <w:tcPr>
            <w:tcW w:type="dxa" w:w="1514"/>
          </w:tcPr>
          <w:p>
            <w:pPr>
              <w:spacing w:before="20" w:after="20"/>
            </w:pPr>
            <w:r/>
            <w:r>
              <w:rPr>
                <w:rFonts w:ascii="Verdana" w:hAnsi="Verdana"/>
                <w:b w:val="0"/>
                <w:sz w:val="16"/>
              </w:rPr>
              <w:t>GqisFlagQual - indicateur de qualité du système IASI pour chaque mesure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0 33 061</w:t>
            </w:r>
          </w:p>
        </w:tc>
        <w:tc>
          <w:tcPr>
            <w:tcW w:type="dxa" w:w="1514"/>
          </w:tcPr>
          <w:p>
            <w:pPr>
              <w:spacing w:before="20" w:after="20"/>
            </w:pPr>
            <w:r/>
            <w:r>
              <w:rPr>
                <w:rFonts w:ascii="Verdana" w:hAnsi="Verdana"/>
                <w:b w:val="0"/>
                <w:sz w:val="16"/>
              </w:rPr>
              <w:t>GqisQuallndex - indicateur de caractéristique de bruit de l'instrument (par étalonnage spectral et étalonnage radiométrique)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0 33 062</w:t>
            </w:r>
          </w:p>
        </w:tc>
        <w:tc>
          <w:tcPr>
            <w:tcW w:type="dxa" w:w="1514"/>
          </w:tcPr>
          <w:p>
            <w:pPr>
              <w:spacing w:before="20" w:after="20"/>
            </w:pPr>
            <w:r/>
            <w:r>
              <w:rPr>
                <w:rFonts w:ascii="Verdana" w:hAnsi="Verdana"/>
                <w:b w:val="0"/>
                <w:sz w:val="16"/>
              </w:rPr>
              <w:t>GqisQuallndexLoc - indicateur d'indice de qualité géométrique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0 33 063</w:t>
            </w:r>
          </w:p>
        </w:tc>
        <w:tc>
          <w:tcPr>
            <w:tcW w:type="dxa" w:w="1514"/>
          </w:tcPr>
          <w:p>
            <w:pPr>
              <w:spacing w:before="20" w:after="20"/>
            </w:pPr>
            <w:r/>
            <w:r>
              <w:rPr>
                <w:rFonts w:ascii="Verdana" w:hAnsi="Verdana"/>
                <w:b w:val="0"/>
                <w:sz w:val="16"/>
              </w:rPr>
              <w:t>GqisQuallndexRad - indicateur de caractéristique de bruit de l'instrument (par étalonnage radiométrique)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0 33 064</w:t>
            </w:r>
          </w:p>
        </w:tc>
        <w:tc>
          <w:tcPr>
            <w:tcW w:type="dxa" w:w="1514"/>
          </w:tcPr>
          <w:p>
            <w:pPr>
              <w:spacing w:before="20" w:after="20"/>
            </w:pPr>
            <w:r/>
            <w:r>
              <w:rPr>
                <w:rFonts w:ascii="Verdana" w:hAnsi="Verdana"/>
                <w:b w:val="0"/>
                <w:sz w:val="16"/>
              </w:rPr>
              <w:t>GqisQuallndexSpect - indicateur de caractéristique de bruit de l'instrument (par étalonnage spectral)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0 33 065</w:t>
            </w:r>
          </w:p>
        </w:tc>
        <w:tc>
          <w:tcPr>
            <w:tcW w:type="dxa" w:w="1514"/>
          </w:tcPr>
          <w:p>
            <w:pPr>
              <w:spacing w:before="20" w:after="20"/>
            </w:pPr>
            <w:r/>
            <w:r>
              <w:rPr>
                <w:rFonts w:ascii="Verdana" w:hAnsi="Verdana"/>
                <w:b w:val="0"/>
                <w:sz w:val="16"/>
              </w:rPr>
              <w:t>GqisSysTecSondQuai - sortie de la fonction qualité du Centre d'expertise technique du système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0 33 066</w:t>
            </w:r>
          </w:p>
        </w:tc>
        <w:tc>
          <w:tcPr>
            <w:tcW w:type="dxa" w:w="1514"/>
          </w:tcPr>
          <w:p>
            <w:pPr>
              <w:spacing w:before="20" w:after="20"/>
            </w:pPr>
            <w:r/>
            <w:r>
              <w:rPr>
                <w:rFonts w:ascii="Verdana" w:hAnsi="Verdana"/>
                <w:b w:val="0"/>
                <w:sz w:val="16"/>
              </w:rPr>
              <w:t>Indicateur de qualité du vecteur de mouvement atmosphérique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0 33 070</w:t>
            </w:r>
          </w:p>
        </w:tc>
        <w:tc>
          <w:tcPr>
            <w:tcW w:type="dxa" w:w="1514"/>
          </w:tcPr>
          <w:p>
            <w:pPr>
              <w:spacing w:before="20" w:after="20"/>
            </w:pPr>
            <w:r/>
            <w:r>
              <w:rPr>
                <w:rFonts w:ascii="Verdana" w:hAnsi="Verdana"/>
                <w:b w:val="0"/>
                <w:sz w:val="16"/>
              </w:rPr>
              <w:t>Qualité de l'ozone totale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0 33 071</w:t>
            </w:r>
          </w:p>
        </w:tc>
        <w:tc>
          <w:tcPr>
            <w:tcW w:type="dxa" w:w="1514"/>
          </w:tcPr>
          <w:p>
            <w:pPr>
              <w:spacing w:before="20" w:after="20"/>
            </w:pPr>
            <w:r/>
            <w:r>
              <w:rPr>
                <w:rFonts w:ascii="Verdana" w:hAnsi="Verdana"/>
                <w:b w:val="0"/>
                <w:sz w:val="16"/>
              </w:rPr>
              <w:t>Qualité du profil de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0 33 072</w:t>
            </w:r>
          </w:p>
        </w:tc>
        <w:tc>
          <w:tcPr>
            <w:tcW w:type="dxa" w:w="1514"/>
          </w:tcPr>
          <w:p>
            <w:pPr>
              <w:spacing w:before="20" w:after="20"/>
            </w:pPr>
            <w:r/>
            <w:r>
              <w:rPr>
                <w:rFonts w:ascii="Verdana" w:hAnsi="Verdana"/>
                <w:b w:val="0"/>
                <w:sz w:val="16"/>
              </w:rPr>
              <w:t>Erreur relative à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0 33 075</w:t>
            </w:r>
          </w:p>
        </w:tc>
        <w:tc>
          <w:tcPr>
            <w:tcW w:type="dxa" w:w="1514"/>
          </w:tcPr>
          <w:p>
            <w:pPr>
              <w:spacing w:before="20" w:after="20"/>
            </w:pPr>
            <w:r/>
            <w:r>
              <w:rPr>
                <w:rFonts w:ascii="Verdana" w:hAnsi="Verdana"/>
                <w:b w:val="0"/>
                <w:sz w:val="16"/>
              </w:rPr>
              <w:t>Indicateur de qualité au niveau du balayage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0 33 076</w:t>
            </w:r>
          </w:p>
        </w:tc>
        <w:tc>
          <w:tcPr>
            <w:tcW w:type="dxa" w:w="1514"/>
          </w:tcPr>
          <w:p>
            <w:pPr>
              <w:spacing w:before="20" w:after="20"/>
            </w:pPr>
            <w:r/>
            <w:r>
              <w:rPr>
                <w:rFonts w:ascii="Verdana" w:hAnsi="Verdana"/>
                <w:b w:val="0"/>
                <w:sz w:val="16"/>
              </w:rPr>
              <w:t>Indicateur de qualité de l'étalonnage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0 33 077</w:t>
            </w:r>
          </w:p>
        </w:tc>
        <w:tc>
          <w:tcPr>
            <w:tcW w:type="dxa" w:w="1514"/>
          </w:tcPr>
          <w:p>
            <w:pPr>
              <w:spacing w:before="20" w:after="20"/>
            </w:pPr>
            <w:r/>
            <w:r>
              <w:rPr>
                <w:rFonts w:ascii="Verdana" w:hAnsi="Verdana"/>
                <w:b w:val="0"/>
                <w:sz w:val="16"/>
              </w:rPr>
              <w:t>Indicateur de qualité du champ de vision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0 33 078</w:t>
            </w:r>
          </w:p>
        </w:tc>
        <w:tc>
          <w:tcPr>
            <w:tcW w:type="dxa" w:w="1514"/>
          </w:tcPr>
          <w:p>
            <w:pPr>
              <w:spacing w:before="20" w:after="20"/>
            </w:pPr>
            <w:r/>
            <w:r>
              <w:rPr>
                <w:rFonts w:ascii="Verdana" w:hAnsi="Verdana"/>
                <w:b w:val="0"/>
                <w:sz w:val="16"/>
              </w:rPr>
              <w:t>Qualité de la localisation géographique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0 33 079</w:t>
            </w:r>
          </w:p>
        </w:tc>
        <w:tc>
          <w:tcPr>
            <w:tcW w:type="dxa" w:w="1514"/>
          </w:tcPr>
          <w:p>
            <w:pPr>
              <w:spacing w:before="20" w:after="20"/>
            </w:pPr>
            <w:r/>
            <w:r>
              <w:rPr>
                <w:rFonts w:ascii="Verdana" w:hAnsi="Verdana"/>
                <w:b w:val="0"/>
                <w:sz w:val="16"/>
              </w:rPr>
              <w:t>Indicateur de qualité au niveau des granules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0 33 080</w:t>
            </w:r>
          </w:p>
        </w:tc>
        <w:tc>
          <w:tcPr>
            <w:tcW w:type="dxa" w:w="1514"/>
          </w:tcPr>
          <w:p>
            <w:pPr>
              <w:spacing w:before="20" w:after="20"/>
            </w:pPr>
            <w:r/>
            <w:r>
              <w:rPr>
                <w:rFonts w:ascii="Verdana" w:hAnsi="Verdana"/>
                <w:b w:val="0"/>
                <w:sz w:val="16"/>
              </w:rPr>
              <w:t>Indicateur de qualité au niveau du balayage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0 33 081</w:t>
            </w:r>
          </w:p>
        </w:tc>
        <w:tc>
          <w:tcPr>
            <w:tcW w:type="dxa" w:w="1514"/>
          </w:tcPr>
          <w:p>
            <w:pPr>
              <w:spacing w:before="20" w:after="20"/>
            </w:pPr>
            <w:r/>
            <w:r>
              <w:rPr>
                <w:rFonts w:ascii="Verdana" w:hAnsi="Verdana"/>
                <w:b w:val="0"/>
                <w:sz w:val="16"/>
              </w:rPr>
              <w:t>Indicateur de qualité des données du canal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0 33 082</w:t>
            </w:r>
          </w:p>
        </w:tc>
        <w:tc>
          <w:tcPr>
            <w:tcW w:type="dxa" w:w="1514"/>
          </w:tcPr>
          <w:p>
            <w:pPr>
              <w:spacing w:before="20" w:after="20"/>
            </w:pPr>
            <w:r/>
            <w:r>
              <w:rPr>
                <w:rFonts w:ascii="Verdana" w:hAnsi="Verdana"/>
                <w:b w:val="0"/>
                <w:sz w:val="16"/>
              </w:rPr>
              <w:t>Indicateur de qualité de la localisation géographique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0 33 083</w:t>
            </w:r>
          </w:p>
        </w:tc>
        <w:tc>
          <w:tcPr>
            <w:tcW w:type="dxa" w:w="1514"/>
          </w:tcPr>
          <w:p>
            <w:pPr>
              <w:spacing w:before="20" w:after="20"/>
            </w:pPr>
            <w:r/>
            <w:r>
              <w:rPr>
                <w:rFonts w:ascii="Verdana" w:hAnsi="Verdana"/>
                <w:b w:val="0"/>
                <w:sz w:val="16"/>
              </w:rPr>
              <w:t>Indicateur de qualité des données sur la luminance énergétique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0 33 084</w:t>
            </w:r>
          </w:p>
        </w:tc>
        <w:tc>
          <w:tcPr>
            <w:tcW w:type="dxa" w:w="1514"/>
          </w:tcPr>
          <w:p>
            <w:pPr>
              <w:spacing w:before="20" w:after="20"/>
            </w:pPr>
            <w:r/>
            <w:r>
              <w:rPr>
                <w:rFonts w:ascii="Verdana" w:hAnsi="Verdana"/>
                <w:b w:val="0"/>
                <w:sz w:val="16"/>
              </w:rPr>
              <w:t>Indicateur de qualité au niveau du pixel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0 33 085</w:t>
            </w:r>
          </w:p>
        </w:tc>
        <w:tc>
          <w:tcPr>
            <w:tcW w:type="dxa" w:w="1514"/>
          </w:tcPr>
          <w:p>
            <w:pPr>
              <w:spacing w:before="20" w:after="20"/>
            </w:pPr>
            <w:r/>
            <w:r>
              <w:rPr>
                <w:rFonts w:ascii="Verdana" w:hAnsi="Verdana"/>
                <w:b w:val="0"/>
                <w:sz w:val="16"/>
              </w:rPr>
              <w:t>Indicateur de qualité de l'épaisseur optique des aérosols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0 33 086</w:t>
            </w:r>
          </w:p>
        </w:tc>
        <w:tc>
          <w:tcPr>
            <w:tcW w:type="dxa" w:w="1514"/>
          </w:tcPr>
          <w:p>
            <w:pPr>
              <w:spacing w:before="20" w:after="20"/>
            </w:pPr>
            <w:r/>
            <w:r>
              <w:rPr>
                <w:rFonts w:ascii="Verdana" w:hAnsi="Verdana"/>
                <w:b w:val="0"/>
                <w:sz w:val="16"/>
              </w:rPr>
              <w:t>Qualité de l'extraction au niveau du pixel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0 33 087</w:t>
            </w:r>
          </w:p>
        </w:tc>
        <w:tc>
          <w:tcPr>
            <w:tcW w:type="dxa" w:w="1514"/>
          </w:tcPr>
          <w:p>
            <w:pPr>
              <w:spacing w:before="20" w:after="20"/>
            </w:pPr>
            <w:r/>
            <w:r>
              <w:rPr>
                <w:rFonts w:ascii="Verdana" w:hAnsi="Verdana"/>
                <w:b w:val="0"/>
                <w:sz w:val="16"/>
              </w:rPr>
              <w:t>Portée du satellite dans l'anomalie de l'Atlantique Sud (sur la base de données climatologiques)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0 33 088</w:t>
            </w:r>
          </w:p>
        </w:tc>
        <w:tc>
          <w:tcPr>
            <w:tcW w:type="dxa" w:w="1514"/>
          </w:tcPr>
          <w:p>
            <w:pPr>
              <w:spacing w:before="20" w:after="20"/>
            </w:pPr>
            <w:r/>
            <w:r>
              <w:rPr>
                <w:rFonts w:ascii="Verdana" w:hAnsi="Verdana"/>
                <w:b w:val="0"/>
                <w:sz w:val="16"/>
              </w:rPr>
              <w:t>Indicateur de qualité de la colonne totale d'ozone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0 33 089</w:t>
            </w:r>
          </w:p>
        </w:tc>
        <w:tc>
          <w:tcPr>
            <w:tcW w:type="dxa" w:w="1514"/>
          </w:tcPr>
          <w:p>
            <w:pPr>
              <w:spacing w:before="20" w:after="20"/>
            </w:pPr>
            <w:r/>
            <w:r>
              <w:rPr>
                <w:rFonts w:ascii="Verdana" w:hAnsi="Verdana"/>
                <w:b w:val="0"/>
                <w:sz w:val="16"/>
              </w:rPr>
              <w:t>Indicateurs de qualité de l'équivalent en bruit du différentiel de température pour un étalonnage sur cible chaude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0 33 090</w:t>
            </w:r>
          </w:p>
        </w:tc>
        <w:tc>
          <w:tcPr>
            <w:tcW w:type="dxa" w:w="1514"/>
          </w:tcPr>
          <w:p>
            <w:pPr>
              <w:spacing w:before="20" w:after="20"/>
            </w:pPr>
            <w:r/>
            <w:r>
              <w:rPr>
                <w:rFonts w:ascii="Verdana" w:hAnsi="Verdana"/>
                <w:b w:val="0"/>
                <w:sz w:val="16"/>
              </w:rPr>
              <w:t>Indicateurs de qualité de l'équivalent en bruit du différentiel de température pour un étalonnage sur cible froide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0 33 091</w:t>
            </w:r>
          </w:p>
        </w:tc>
        <w:tc>
          <w:tcPr>
            <w:tcW w:type="dxa" w:w="1514"/>
          </w:tcPr>
          <w:p>
            <w:pPr>
              <w:spacing w:before="20" w:after="20"/>
            </w:pPr>
            <w:r/>
            <w:r>
              <w:rPr>
                <w:rFonts w:ascii="Verdana" w:hAnsi="Verdana"/>
                <w:b w:val="0"/>
                <w:sz w:val="16"/>
              </w:rPr>
              <w:t>Indicateurs de qualité de l'équivalent en bruit du différentiel de température pour un étalonnage global</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0 33 092</w:t>
            </w:r>
          </w:p>
        </w:tc>
        <w:tc>
          <w:tcPr>
            <w:tcW w:type="dxa" w:w="1514"/>
          </w:tcPr>
          <w:p>
            <w:pPr>
              <w:spacing w:before="20" w:after="20"/>
            </w:pPr>
            <w:r/>
            <w:r>
              <w:rPr>
                <w:rFonts w:ascii="Verdana" w:hAnsi="Verdana"/>
                <w:b w:val="0"/>
                <w:sz w:val="16"/>
              </w:rPr>
              <w:t>Indicateur de qualité des données sur l'océan dans une bande précise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