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35 : Informations sur le contrôle des données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0 35 000</w:t>
            </w:r>
          </w:p>
        </w:tc>
        <w:tc>
          <w:tcPr>
            <w:tcW w:type="dxa" w:w="1514"/>
          </w:tcPr>
          <w:p>
            <w:pPr>
              <w:spacing w:before="20" w:after="20"/>
            </w:pPr>
            <w:r/>
            <w:r>
              <w:rPr>
                <w:rFonts w:ascii="Verdana" w:hAnsi="Verdana"/>
                <w:b w:val="0"/>
                <w:sz w:val="16"/>
              </w:rPr>
              <w:t>FM et numéro régional de code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0 35 001</w:t>
            </w:r>
          </w:p>
        </w:tc>
        <w:tc>
          <w:tcPr>
            <w:tcW w:type="dxa" w:w="1514"/>
          </w:tcPr>
          <w:p>
            <w:pPr>
              <w:spacing w:before="20" w:after="20"/>
            </w:pPr>
            <w:r/>
            <w:r>
              <w:rPr>
                <w:rFonts w:ascii="Verdana" w:hAnsi="Verdana"/>
                <w:b w:val="0"/>
                <w:sz w:val="16"/>
              </w:rPr>
              <w:t>Base de temps pour le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0 35 011</w:t>
            </w:r>
          </w:p>
        </w:tc>
        <w:tc>
          <w:tcPr>
            <w:tcW w:type="dxa" w:w="1514"/>
          </w:tcPr>
          <w:p>
            <w:pPr>
              <w:spacing w:before="20" w:after="20"/>
            </w:pPr>
            <w:r/>
            <w:r>
              <w:rPr>
                <w:rFonts w:ascii="Verdana" w:hAnsi="Verdana"/>
                <w:b w:val="0"/>
                <w:sz w:val="16"/>
              </w:rPr>
              <w:t>Nombre de messages réellement reçus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0 35 021</w:t>
            </w:r>
          </w:p>
        </w:tc>
        <w:tc>
          <w:tcPr>
            <w:tcW w:type="dxa" w:w="1514"/>
          </w:tcPr>
          <w:p>
            <w:pPr>
              <w:spacing w:before="20" w:after="20"/>
            </w:pPr>
            <w:r/>
            <w:r>
              <w:rPr>
                <w:rFonts w:ascii="Verdana" w:hAnsi="Verdana"/>
                <w:b w:val="0"/>
                <w:sz w:val="16"/>
              </w:rPr>
              <w:t>Bulletin contrôlé (TTAAii)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0 35 022</w:t>
            </w:r>
          </w:p>
        </w:tc>
        <w:tc>
          <w:tcPr>
            <w:tcW w:type="dxa" w:w="1514"/>
          </w:tcPr>
          <w:p>
            <w:pPr>
              <w:spacing w:before="20" w:after="20"/>
            </w:pPr>
            <w:r/>
            <w:r>
              <w:rPr>
                <w:rFonts w:ascii="Verdana" w:hAnsi="Verdana"/>
                <w:b w:val="0"/>
                <w:sz w:val="16"/>
              </w:rPr>
              <w:t>Bulletin contrôlé (YYGGgg)</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0 35 023</w:t>
            </w:r>
          </w:p>
        </w:tc>
        <w:tc>
          <w:tcPr>
            <w:tcW w:type="dxa" w:w="1514"/>
          </w:tcPr>
          <w:p>
            <w:pPr>
              <w:spacing w:before="20" w:after="20"/>
            </w:pPr>
            <w:r/>
            <w:r>
              <w:rPr>
                <w:rFonts w:ascii="Verdana" w:hAnsi="Verdana"/>
                <w:b w:val="0"/>
                <w:sz w:val="16"/>
              </w:rPr>
              <w:t>Bulletin contrôlé (CCCC)</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0 35 024</w:t>
            </w:r>
          </w:p>
        </w:tc>
        <w:tc>
          <w:tcPr>
            <w:tcW w:type="dxa" w:w="1514"/>
          </w:tcPr>
          <w:p>
            <w:pPr>
              <w:spacing w:before="20" w:after="20"/>
            </w:pPr>
            <w:r/>
            <w:r>
              <w:rPr>
                <w:rFonts w:ascii="Verdana" w:hAnsi="Verdana"/>
                <w:b w:val="0"/>
                <w:sz w:val="16"/>
              </w:rPr>
              <w:t>Bulletin contrôlé (BBB)</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0 35 030</w:t>
            </w:r>
          </w:p>
        </w:tc>
        <w:tc>
          <w:tcPr>
            <w:tcW w:type="dxa" w:w="1514"/>
          </w:tcPr>
          <w:p>
            <w:pPr>
              <w:spacing w:before="20" w:after="20"/>
            </w:pPr>
            <w:r/>
            <w:r>
              <w:rPr>
                <w:rFonts w:ascii="Verdana" w:hAnsi="Verdana"/>
                <w:b w:val="0"/>
                <w:sz w:val="16"/>
              </w:rPr>
              <w:t>Divergences dans la disponibilité des données attendues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0 35 031</w:t>
            </w:r>
          </w:p>
        </w:tc>
        <w:tc>
          <w:tcPr>
            <w:tcW w:type="dxa" w:w="1514"/>
          </w:tcPr>
          <w:p>
            <w:pPr>
              <w:spacing w:before="20" w:after="20"/>
            </w:pPr>
            <w:r/>
            <w:r>
              <w:rPr>
                <w:rFonts w:ascii="Verdana" w:hAnsi="Verdana"/>
                <w:b w:val="0"/>
                <w:sz w:val="16"/>
              </w:rPr>
              <w:t>Déterminant des résultats du contrôle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0 35 032</w:t>
            </w:r>
          </w:p>
        </w:tc>
        <w:tc>
          <w:tcPr>
            <w:tcW w:type="dxa" w:w="1514"/>
          </w:tcPr>
          <w:p>
            <w:pPr>
              <w:spacing w:before="20" w:after="20"/>
            </w:pPr>
            <w:r/>
            <w:r>
              <w:rPr>
                <w:rFonts w:ascii="Verdana" w:hAnsi="Verdana"/>
                <w:b w:val="0"/>
                <w:sz w:val="16"/>
              </w:rPr>
              <w:t>Cause des données manquantes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0 35 033</w:t>
            </w:r>
          </w:p>
        </w:tc>
        <w:tc>
          <w:tcPr>
            <w:tcW w:type="dxa" w:w="1514"/>
          </w:tcPr>
          <w:p>
            <w:pPr>
              <w:spacing w:before="20" w:after="20"/>
            </w:pPr>
            <w:r/>
            <w:r>
              <w:rPr>
                <w:rFonts w:ascii="Verdana" w:hAnsi="Verdana"/>
                <w:b w:val="0"/>
                <w:sz w:val="16"/>
              </w:rPr>
              <w:t>Défauts d'observation et de collecte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0 35 034</w:t>
            </w:r>
          </w:p>
        </w:tc>
        <w:tc>
          <w:tcPr>
            <w:tcW w:type="dxa" w:w="1514"/>
          </w:tcPr>
          <w:p>
            <w:pPr>
              <w:spacing w:before="20" w:after="20"/>
            </w:pPr>
            <w:r/>
            <w:r>
              <w:rPr>
                <w:rFonts w:ascii="Verdana" w:hAnsi="Verdana"/>
                <w:b w:val="0"/>
                <w:sz w:val="16"/>
              </w:rPr>
              <w:t>Tendances statistiques de la disponibilité des données (pendant la(les) période(s) d'observation)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0 35 035</w:t>
            </w:r>
          </w:p>
        </w:tc>
        <w:tc>
          <w:tcPr>
            <w:tcW w:type="dxa" w:w="1514"/>
          </w:tcPr>
          <w:p>
            <w:pPr>
              <w:spacing w:before="20" w:after="20"/>
            </w:pPr>
            <w:r/>
            <w:r>
              <w:rPr>
                <w:rFonts w:ascii="Verdana" w:hAnsi="Verdana"/>
                <w:b w:val="0"/>
                <w:sz w:val="16"/>
              </w:rPr>
              <w:t>Raison de l'abandon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