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40 : Données satellitaires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0 40 001</w:t>
            </w:r>
          </w:p>
        </w:tc>
        <w:tc>
          <w:tcPr>
            <w:tcW w:type="dxa" w:w="1514"/>
          </w:tcPr>
          <w:p>
            <w:pPr>
              <w:spacing w:before="20" w:after="20"/>
            </w:pPr>
            <w:r/>
            <w:r>
              <w:rPr>
                <w:rFonts w:ascii="Verdana" w:hAnsi="Verdana"/>
                <w:b w:val="0"/>
                <w:sz w:val="16"/>
              </w:rPr>
              <w:t>Humidité du sol en surface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0 40 002</w:t>
            </w:r>
          </w:p>
        </w:tc>
        <w:tc>
          <w:tcPr>
            <w:tcW w:type="dxa" w:w="1514"/>
          </w:tcPr>
          <w:p>
            <w:pPr>
              <w:spacing w:before="20" w:after="20"/>
            </w:pPr>
            <w:r/>
            <w:r>
              <w:rPr>
                <w:rFonts w:ascii="Verdana" w:hAnsi="Verdana"/>
                <w:b w:val="0"/>
                <w:sz w:val="16"/>
              </w:rPr>
              <w:t>Erreur estimative de l'humidité du sol en surface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0 40 003</w:t>
            </w:r>
          </w:p>
        </w:tc>
        <w:tc>
          <w:tcPr>
            <w:tcW w:type="dxa" w:w="1514"/>
          </w:tcPr>
          <w:p>
            <w:pPr>
              <w:spacing w:before="20" w:after="20"/>
            </w:pPr>
            <w:r/>
            <w:r>
              <w:rPr>
                <w:rFonts w:ascii="Verdana" w:hAnsi="Verdana"/>
                <w:b w:val="0"/>
                <w:sz w:val="16"/>
              </w:rPr>
              <w:t>Humidité moyenne du sol en surface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0 40 004</w:t>
            </w:r>
          </w:p>
        </w:tc>
        <w:tc>
          <w:tcPr>
            <w:tcW w:type="dxa" w:w="1514"/>
          </w:tcPr>
          <w:p>
            <w:pPr>
              <w:spacing w:before="20" w:after="20"/>
            </w:pPr>
            <w:r/>
            <w:r>
              <w:rPr>
                <w:rFonts w:ascii="Verdana" w:hAnsi="Verdana"/>
                <w:b w:val="0"/>
                <w:sz w:val="16"/>
              </w:rPr>
              <w:t>Détection de pluie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0 40 005</w:t>
            </w:r>
          </w:p>
        </w:tc>
        <w:tc>
          <w:tcPr>
            <w:tcW w:type="dxa" w:w="1514"/>
          </w:tcPr>
          <w:p>
            <w:pPr>
              <w:spacing w:before="20" w:after="20"/>
            </w:pPr>
            <w:r/>
            <w:r>
              <w:rPr>
                <w:rFonts w:ascii="Verdana" w:hAnsi="Verdana"/>
                <w:b w:val="0"/>
                <w:sz w:val="16"/>
              </w:rPr>
              <w:t>Indicateur de correction de l'humidité du sol</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0 40 006</w:t>
            </w:r>
          </w:p>
        </w:tc>
        <w:tc>
          <w:tcPr>
            <w:tcW w:type="dxa" w:w="1514"/>
          </w:tcPr>
          <w:p>
            <w:pPr>
              <w:spacing w:before="20" w:after="20"/>
            </w:pPr>
            <w:r/>
            <w:r>
              <w:rPr>
                <w:rFonts w:ascii="Verdana" w:hAnsi="Verdana"/>
                <w:b w:val="0"/>
                <w:sz w:val="16"/>
              </w:rPr>
              <w:t>Indicateur de traitement de l'humidité du sol</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0 40 007</w:t>
            </w:r>
          </w:p>
        </w:tc>
        <w:tc>
          <w:tcPr>
            <w:tcW w:type="dxa" w:w="1514"/>
          </w:tcPr>
          <w:p>
            <w:pPr>
              <w:spacing w:before="20" w:after="20"/>
            </w:pPr>
            <w:r/>
            <w:r>
              <w:rPr>
                <w:rFonts w:ascii="Verdana" w:hAnsi="Verdana"/>
                <w:b w:val="0"/>
                <w:sz w:val="16"/>
              </w:rPr>
              <w:t>Qualité de l'humidité du sol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0 40 008</w:t>
            </w:r>
          </w:p>
        </w:tc>
        <w:tc>
          <w:tcPr>
            <w:tcW w:type="dxa" w:w="1514"/>
          </w:tcPr>
          <w:p>
            <w:pPr>
              <w:spacing w:before="20" w:after="20"/>
            </w:pPr>
            <w:r/>
            <w:r>
              <w:rPr>
                <w:rFonts w:ascii="Verdana" w:hAnsi="Verdana"/>
                <w:b w:val="0"/>
                <w:sz w:val="16"/>
              </w:rPr>
              <w:t>Fraction gelée de la surface terrestre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0 40 009</w:t>
            </w:r>
          </w:p>
        </w:tc>
        <w:tc>
          <w:tcPr>
            <w:tcW w:type="dxa" w:w="1514"/>
          </w:tcPr>
          <w:p>
            <w:pPr>
              <w:spacing w:before="20" w:after="20"/>
            </w:pPr>
            <w:r/>
            <w:r>
              <w:rPr>
                <w:rFonts w:ascii="Verdana" w:hAnsi="Verdana"/>
                <w:b w:val="0"/>
                <w:sz w:val="16"/>
              </w:rPr>
              <w:t>Fraction des zones humides et inondées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0 40 010</w:t>
            </w:r>
          </w:p>
        </w:tc>
        <w:tc>
          <w:tcPr>
            <w:tcW w:type="dxa" w:w="1514"/>
          </w:tcPr>
          <w:p>
            <w:pPr>
              <w:spacing w:before="20" w:after="20"/>
            </w:pPr>
            <w:r/>
            <w:r>
              <w:rPr>
                <w:rFonts w:ascii="Verdana" w:hAnsi="Verdana"/>
                <w:b w:val="0"/>
                <w:sz w:val="16"/>
              </w:rPr>
              <w:t>Complexité topographique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0 40 011</w:t>
            </w:r>
          </w:p>
        </w:tc>
        <w:tc>
          <w:tcPr>
            <w:tcW w:type="dxa" w:w="1514"/>
          </w:tcPr>
          <w:p>
            <w:pPr>
              <w:spacing w:before="20" w:after="20"/>
            </w:pPr>
            <w:r/>
            <w:r>
              <w:rPr>
                <w:rFonts w:ascii="Verdana" w:hAnsi="Verdana"/>
                <w:b w:val="0"/>
                <w:sz w:val="16"/>
              </w:rPr>
              <w:t>Indicateur d'interpolation</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0 40 012</w:t>
            </w:r>
          </w:p>
        </w:tc>
        <w:tc>
          <w:tcPr>
            <w:tcW w:type="dxa" w:w="1514"/>
          </w:tcPr>
          <w:p>
            <w:pPr>
              <w:spacing w:before="20" w:after="20"/>
            </w:pPr>
            <w:r/>
            <w:r>
              <w:rPr>
                <w:rFonts w:ascii="Verdana" w:hAnsi="Verdana"/>
                <w:b w:val="0"/>
                <w:sz w:val="16"/>
              </w:rPr>
              <w:t>Indicateur de qualité des données du radiomètre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0 40 013</w:t>
            </w:r>
          </w:p>
        </w:tc>
        <w:tc>
          <w:tcPr>
            <w:tcW w:type="dxa" w:w="1514"/>
          </w:tcPr>
          <w:p>
            <w:pPr>
              <w:spacing w:before="20" w:after="20"/>
            </w:pPr>
            <w:r/>
            <w:r>
              <w:rPr>
                <w:rFonts w:ascii="Verdana" w:hAnsi="Verdana"/>
                <w:b w:val="0"/>
                <w:sz w:val="16"/>
              </w:rPr>
              <w:t>Indicateur d'interprétation de la température de luminance du radiomètre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0 40 014</w:t>
            </w:r>
          </w:p>
        </w:tc>
        <w:tc>
          <w:tcPr>
            <w:tcW w:type="dxa" w:w="1514"/>
          </w:tcPr>
          <w:p>
            <w:pPr>
              <w:spacing w:before="20" w:after="20"/>
            </w:pPr>
            <w:r/>
            <w:r>
              <w:rPr>
                <w:rFonts w:ascii="Verdana" w:hAnsi="Verdana"/>
                <w:b w:val="0"/>
                <w:sz w:val="16"/>
              </w:rPr>
              <w:t>Fluctuations haute fréquence de la correction topographique de la surface de la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0 40 015</w:t>
            </w:r>
          </w:p>
        </w:tc>
        <w:tc>
          <w:tcPr>
            <w:tcW w:type="dxa" w:w="1514"/>
          </w:tcPr>
          <w:p>
            <w:pPr>
              <w:spacing w:before="20" w:after="20"/>
            </w:pPr>
            <w:r/>
            <w:r>
              <w:rPr>
                <w:rFonts w:ascii="Verdana" w:hAnsi="Verdana"/>
                <w:b w:val="0"/>
                <w:sz w:val="16"/>
              </w:rPr>
              <w:t>Indice différentiel normalisé de végétation (NDVI)</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0 40 016</w:t>
            </w:r>
          </w:p>
        </w:tc>
        <w:tc>
          <w:tcPr>
            <w:tcW w:type="dxa" w:w="1514"/>
          </w:tcPr>
          <w:p>
            <w:pPr>
              <w:spacing w:before="20" w:after="20"/>
            </w:pPr>
            <w:r/>
            <w:r>
              <w:rPr>
                <w:rFonts w:ascii="Verdana" w:hAnsi="Verdana"/>
                <w:b w:val="0"/>
                <w:sz w:val="16"/>
              </w:rPr>
              <w:t>Moyenne quadratique résiduelle en bande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0 40 017</w:t>
            </w:r>
          </w:p>
        </w:tc>
        <w:tc>
          <w:tcPr>
            <w:tcW w:type="dxa" w:w="1514"/>
          </w:tcPr>
          <w:p>
            <w:pPr>
              <w:spacing w:before="20" w:after="20"/>
            </w:pPr>
            <w:r/>
            <w:r>
              <w:rPr>
                <w:rFonts w:ascii="Verdana" w:hAnsi="Verdana"/>
                <w:b w:val="0"/>
                <w:sz w:val="16"/>
              </w:rPr>
              <w:t>Score des composantes principales non normalisé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0 40 018</w:t>
            </w:r>
          </w:p>
        </w:tc>
        <w:tc>
          <w:tcPr>
            <w:tcW w:type="dxa" w:w="1514"/>
          </w:tcPr>
          <w:p>
            <w:pPr>
              <w:spacing w:before="20" w:after="20"/>
            </w:pPr>
            <w:r/>
            <w:r>
              <w:rPr>
                <w:rFonts w:ascii="Verdana" w:hAnsi="Verdana"/>
                <w:b w:val="0"/>
                <w:sz w:val="16"/>
              </w:rPr>
              <w:t>GIacAvgImagIIS - moyenne des mesures de l'imageur</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0 40 019</w:t>
            </w:r>
          </w:p>
        </w:tc>
        <w:tc>
          <w:tcPr>
            <w:tcW w:type="dxa" w:w="1514"/>
          </w:tcPr>
          <w:p>
            <w:pPr>
              <w:spacing w:before="20" w:after="20"/>
            </w:pPr>
            <w:r/>
            <w:r>
              <w:rPr>
                <w:rFonts w:ascii="Verdana" w:hAnsi="Verdana"/>
                <w:b w:val="0"/>
                <w:sz w:val="16"/>
              </w:rPr>
              <w:t>GIacVarImagIIS - variance des mesures de l'imageur</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0 40 020</w:t>
            </w:r>
          </w:p>
        </w:tc>
        <w:tc>
          <w:tcPr>
            <w:tcW w:type="dxa" w:w="1514"/>
          </w:tcPr>
          <w:p>
            <w:pPr>
              <w:spacing w:before="20" w:after="20"/>
            </w:pPr>
            <w:r/>
            <w:r>
              <w:rPr>
                <w:rFonts w:ascii="Verdana" w:hAnsi="Verdana"/>
                <w:b w:val="0"/>
                <w:sz w:val="16"/>
              </w:rPr>
              <w:t>GqisFlagQualDetailed - indicateur de qualité du système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0 40 021</w:t>
            </w:r>
          </w:p>
        </w:tc>
        <w:tc>
          <w:tcPr>
            <w:tcW w:type="dxa" w:w="1514"/>
          </w:tcPr>
          <w:p>
            <w:pPr>
              <w:spacing w:before="20" w:after="20"/>
            </w:pPr>
            <w:r/>
            <w:r>
              <w:rPr>
                <w:rFonts w:ascii="Verdana" w:hAnsi="Verdana"/>
                <w:b w:val="0"/>
                <w:sz w:val="16"/>
              </w:rPr>
              <w:t>Fraction de pixels AVHRR pondérés dans le champ de vision de l'IASI recouvert d'une couche de neige/glace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0 40 022</w:t>
            </w:r>
          </w:p>
        </w:tc>
        <w:tc>
          <w:tcPr>
            <w:tcW w:type="dxa" w:w="1514"/>
          </w:tcPr>
          <w:p>
            <w:pPr>
              <w:spacing w:before="20" w:after="20"/>
            </w:pPr>
            <w:r/>
            <w:r>
              <w:rPr>
                <w:rFonts w:ascii="Verdana" w:hAnsi="Verdana"/>
                <w:b w:val="0"/>
                <w:sz w:val="16"/>
              </w:rPr>
              <w:t>Nombre de pixels AVHRR manquants, erronés ou défaillants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0 40 023</w:t>
            </w:r>
          </w:p>
        </w:tc>
        <w:tc>
          <w:tcPr>
            <w:tcW w:type="dxa" w:w="1514"/>
          </w:tcPr>
          <w:p>
            <w:pPr>
              <w:spacing w:before="20" w:after="20"/>
            </w:pPr>
            <w:r/>
            <w:r>
              <w:rPr>
                <w:rFonts w:ascii="Verdana" w:hAnsi="Verdana"/>
                <w:b w:val="0"/>
                <w:sz w:val="16"/>
              </w:rPr>
              <w:t>Indicateur de l'état de l'altimètre auxiliaire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0 40 024</w:t>
            </w:r>
          </w:p>
        </w:tc>
        <w:tc>
          <w:tcPr>
            <w:tcW w:type="dxa" w:w="1514"/>
          </w:tcPr>
          <w:p>
            <w:pPr>
              <w:spacing w:before="20" w:after="20"/>
            </w:pPr>
            <w:r/>
            <w:r>
              <w:rPr>
                <w:rFonts w:ascii="Verdana" w:hAnsi="Verdana"/>
                <w:b w:val="0"/>
                <w:sz w:val="16"/>
              </w:rPr>
              <w:t>Existence de cartes météorologiques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0 40 025</w:t>
            </w:r>
          </w:p>
        </w:tc>
        <w:tc>
          <w:tcPr>
            <w:tcW w:type="dxa" w:w="1514"/>
          </w:tcPr>
          <w:p>
            <w:pPr>
              <w:spacing w:before="20" w:after="20"/>
            </w:pPr>
            <w:r/>
            <w:r>
              <w:rPr>
                <w:rFonts w:ascii="Verdana" w:hAnsi="Verdana"/>
                <w:b w:val="0"/>
                <w:sz w:val="16"/>
              </w:rPr>
              <w:t>Indicateur d'interpolation pour la marée diurne moyenne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0 40 026</w:t>
            </w:r>
          </w:p>
        </w:tc>
        <w:tc>
          <w:tcPr>
            <w:tcW w:type="dxa" w:w="1514"/>
          </w:tcPr>
          <w:p>
            <w:pPr>
              <w:spacing w:before="20" w:after="20"/>
            </w:pPr>
            <w:r/>
            <w:r>
              <w:rPr>
                <w:rFonts w:ascii="Verdana" w:hAnsi="Verdana"/>
                <w:b w:val="0"/>
                <w:sz w:val="16"/>
              </w:rPr>
              <w:t>Facteur de quantification de l'indice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0 40 027</w:t>
            </w:r>
          </w:p>
        </w:tc>
        <w:tc>
          <w:tcPr>
            <w:tcW w:type="dxa" w:w="1514"/>
          </w:tcPr>
          <w:p>
            <w:pPr>
              <w:spacing w:before="20" w:after="20"/>
            </w:pPr>
            <w:r/>
            <w:r>
              <w:rPr>
                <w:rFonts w:ascii="Verdana" w:hAnsi="Verdana"/>
                <w:b w:val="0"/>
                <w:sz w:val="16"/>
              </w:rPr>
              <w:t>Angle du reflet solaire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0 40 028</w:t>
            </w:r>
          </w:p>
        </w:tc>
        <w:tc>
          <w:tcPr>
            <w:tcW w:type="dxa" w:w="1514"/>
          </w:tcPr>
          <w:p>
            <w:pPr>
              <w:spacing w:before="20" w:after="20"/>
            </w:pPr>
            <w:r/>
            <w:r>
              <w:rPr>
                <w:rFonts w:ascii="Verdana" w:hAnsi="Verdana"/>
                <w:b w:val="0"/>
                <w:sz w:val="16"/>
              </w:rPr>
              <w:t>Indicateur de qualité des données du GMI</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0 40 029</w:t>
            </w:r>
          </w:p>
        </w:tc>
        <w:tc>
          <w:tcPr>
            <w:tcW w:type="dxa" w:w="1514"/>
          </w:tcPr>
          <w:p>
            <w:pPr>
              <w:spacing w:before="20" w:after="20"/>
            </w:pPr>
            <w:r/>
            <w:r>
              <w:rPr>
                <w:rFonts w:ascii="Verdana" w:hAnsi="Verdana"/>
                <w:b w:val="0"/>
                <w:sz w:val="16"/>
              </w:rPr>
              <w:t>Longueur d'intégration horizontale des observations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0 40 030</w:t>
            </w:r>
          </w:p>
        </w:tc>
        <w:tc>
          <w:tcPr>
            <w:tcW w:type="dxa" w:w="1514"/>
          </w:tcPr>
          <w:p>
            <w:pPr>
              <w:spacing w:before="20" w:after="20"/>
            </w:pPr>
            <w:r/>
            <w:r>
              <w:rPr>
                <w:rFonts w:ascii="Verdana" w:hAnsi="Verdana"/>
                <w:b w:val="0"/>
                <w:sz w:val="16"/>
              </w:rPr>
              <w:t>Vent horizontal dans l'axe de visée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-32767</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0 40 031</w:t>
            </w:r>
          </w:p>
        </w:tc>
        <w:tc>
          <w:tcPr>
            <w:tcW w:type="dxa" w:w="1514"/>
          </w:tcPr>
          <w:p>
            <w:pPr>
              <w:spacing w:before="20" w:after="20"/>
            </w:pPr>
            <w:r/>
            <w:r>
              <w:rPr>
                <w:rFonts w:ascii="Verdana" w:hAnsi="Verdana"/>
                <w:b w:val="0"/>
                <w:sz w:val="16"/>
              </w:rPr>
              <w:t>Estimation des erreurs relatives au vent horizontal dans l'axe de visée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0 40 032</w:t>
            </w:r>
          </w:p>
        </w:tc>
        <w:tc>
          <w:tcPr>
            <w:tcW w:type="dxa" w:w="1514"/>
          </w:tcPr>
          <w:p>
            <w:pPr>
              <w:spacing w:before="20" w:after="20"/>
            </w:pPr>
            <w:r/>
            <w:r>
              <w:rPr>
                <w:rFonts w:ascii="Verdana" w:hAnsi="Verdana"/>
                <w:b w:val="0"/>
                <w:sz w:val="16"/>
              </w:rPr>
              <w:t>Dérivée du vent par rapport à la pression</w:t>
            </w:r>
          </w:p>
        </w:tc>
        <w:tc>
          <w:tcPr>
            <w:tcW w:type="dxa" w:w="1514"/>
          </w:tcPr>
          <w:p>
            <w:pPr>
              <w:spacing w:before="20" w:after="20"/>
            </w:pPr>
            <w:r/>
            <w:r>
              <w:rPr>
                <w:rFonts w:ascii="Verdana" w:hAnsi="Verdana"/>
                <w:sz w:val="16"/>
              </w:rPr>
              <w:t>m s</w:t>
            </w:r>
            <w:r>
              <w:rPr>
                <w:rFonts w:ascii="Verdana" w:hAnsi="Verdana"/>
                <w:sz w:val="16"/>
                <w:vertAlign w:val="superscript"/>
              </w:rPr>
              <w:t>-1</w:t>
            </w:r>
            <w:r>
              <w:rPr>
                <w:rFonts w:ascii="Verdana" w:hAnsi="Verdana"/>
                <w:sz w:val="16"/>
              </w:rPr>
              <w:t xml:space="preserve"> Pa-1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 s</w:t>
            </w:r>
            <w:r>
              <w:rPr>
                <w:rFonts w:ascii="Verdana" w:hAnsi="Verdana"/>
                <w:sz w:val="16"/>
                <w:vertAlign w:val="superscript"/>
              </w:rPr>
              <w:t>-1</w:t>
            </w:r>
            <w:r>
              <w:rPr>
                <w:rFonts w:ascii="Verdana" w:hAnsi="Verdana"/>
                <w:sz w:val="16"/>
              </w:rPr>
              <w:t xml:space="preserve"> Pa-1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0 40 033</w:t>
            </w:r>
          </w:p>
        </w:tc>
        <w:tc>
          <w:tcPr>
            <w:tcW w:type="dxa" w:w="1514"/>
          </w:tcPr>
          <w:p>
            <w:pPr>
              <w:spacing w:before="20" w:after="20"/>
            </w:pPr>
            <w:r/>
            <w:r>
              <w:rPr>
                <w:rFonts w:ascii="Verdana" w:hAnsi="Verdana"/>
                <w:b w:val="0"/>
                <w:sz w:val="16"/>
              </w:rPr>
              <w:t>Dérivée du vent par rapport à la température</w:t>
            </w:r>
          </w:p>
        </w:tc>
        <w:tc>
          <w:tcPr>
            <w:tcW w:type="dxa" w:w="1514"/>
          </w:tcPr>
          <w:p>
            <w:pPr>
              <w:spacing w:before="20" w:after="20"/>
            </w:pPr>
            <w:r/>
            <w:r>
              <w:rPr>
                <w:rFonts w:ascii="Verdana" w:hAnsi="Verdana"/>
                <w:sz w:val="16"/>
              </w:rPr>
              <w:t>m s</w:t>
            </w:r>
            <w:r>
              <w:rPr>
                <w:rFonts w:ascii="Verdana" w:hAnsi="Verdana"/>
                <w:sz w:val="16"/>
                <w:vertAlign w:val="superscript"/>
              </w:rPr>
              <w:t>-1</w:t>
            </w:r>
            <w:r>
              <w:rPr>
                <w:rFonts w:ascii="Verdana" w:hAnsi="Verdana"/>
                <w:sz w:val="16"/>
              </w:rPr>
              <w:t xml:space="preserve"> K-1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 s</w:t>
            </w:r>
            <w:r>
              <w:rPr>
                <w:rFonts w:ascii="Verdana" w:hAnsi="Verdana"/>
                <w:sz w:val="16"/>
                <w:vertAlign w:val="superscript"/>
              </w:rPr>
              <w:t>-1</w:t>
            </w:r>
            <w:r>
              <w:rPr>
                <w:rFonts w:ascii="Verdana" w:hAnsi="Verdana"/>
                <w:sz w:val="16"/>
              </w:rPr>
              <w:t xml:space="preserve"> K-1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0 40 034</w:t>
            </w:r>
          </w:p>
        </w:tc>
        <w:tc>
          <w:tcPr>
            <w:tcW w:type="dxa" w:w="1514"/>
          </w:tcPr>
          <w:p>
            <w:pPr>
              <w:spacing w:before="20" w:after="20"/>
            </w:pPr>
            <w:r/>
            <w:r>
              <w:rPr>
                <w:rFonts w:ascii="Verdana" w:hAnsi="Verdana"/>
                <w:b w:val="0"/>
                <w:sz w:val="16"/>
              </w:rPr>
              <w:t>Dérivée du vent par rapport au coefficient de rétrodiffusion</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-200000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0 40 035</w:t>
            </w:r>
          </w:p>
        </w:tc>
        <w:tc>
          <w:tcPr>
            <w:tcW w:type="dxa" w:w="1514"/>
          </w:tcPr>
          <w:p>
            <w:pPr>
              <w:spacing w:before="20" w:after="20"/>
            </w:pPr>
            <w:r/>
            <w:r>
              <w:rPr>
                <w:rFonts w:ascii="Verdana" w:hAnsi="Verdana"/>
                <w:b w:val="0"/>
                <w:sz w:val="16"/>
              </w:rPr>
              <w:t>Distance du satellite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380000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0 40 036</w:t>
            </w:r>
          </w:p>
        </w:tc>
        <w:tc>
          <w:tcPr>
            <w:tcW w:type="dxa" w:w="1514"/>
          </w:tcPr>
          <w:p>
            <w:pPr>
              <w:spacing w:before="20" w:after="20"/>
            </w:pPr>
            <w:r/>
            <w:r>
              <w:rPr>
                <w:rFonts w:ascii="Verdana" w:hAnsi="Verdana"/>
                <w:b w:val="0"/>
                <w:sz w:val="16"/>
              </w:rPr>
              <w:t>Type de classification des produits lidar de niveau L2b</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0 40 037</w:t>
            </w:r>
          </w:p>
        </w:tc>
        <w:tc>
          <w:tcPr>
            <w:tcW w:type="dxa" w:w="1514"/>
          </w:tcPr>
          <w:p>
            <w:pPr>
              <w:spacing w:before="20" w:after="20"/>
            </w:pPr>
            <w:r/>
            <w:r>
              <w:rPr>
                <w:rFonts w:ascii="Verdana" w:hAnsi="Verdana"/>
                <w:b w:val="0"/>
                <w:sz w:val="16"/>
              </w:rPr>
              <w:t>Coefficient de rétrodiffusion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0 40 038</w:t>
            </w:r>
          </w:p>
        </w:tc>
        <w:tc>
          <w:tcPr>
            <w:tcW w:type="dxa" w:w="1514"/>
          </w:tcPr>
          <w:p>
            <w:pPr>
              <w:spacing w:before="20" w:after="20"/>
            </w:pPr>
            <w:r/>
            <w:r>
              <w:rPr>
                <w:rFonts w:ascii="Verdana" w:hAnsi="Verdana"/>
                <w:b w:val="0"/>
                <w:sz w:val="16"/>
              </w:rPr>
              <w:t>Taille des particules de nuages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0 40 039</w:t>
            </w:r>
          </w:p>
        </w:tc>
        <w:tc>
          <w:tcPr>
            <w:tcW w:type="dxa" w:w="1514"/>
          </w:tcPr>
          <w:p>
            <w:pPr>
              <w:spacing w:before="20" w:after="20"/>
            </w:pPr>
            <w:r/>
            <w:r>
              <w:rPr>
                <w:rFonts w:ascii="Verdana" w:hAnsi="Verdana"/>
                <w:b w:val="0"/>
                <w:sz w:val="16"/>
              </w:rPr>
              <w:t>Intensité d'image du produit singulier complexe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0 40 040</w:t>
            </w:r>
          </w:p>
        </w:tc>
        <w:tc>
          <w:tcPr>
            <w:tcW w:type="dxa" w:w="1514"/>
          </w:tcPr>
          <w:p>
            <w:pPr>
              <w:spacing w:before="20" w:after="20"/>
            </w:pPr>
            <w:r/>
            <w:r>
              <w:rPr>
                <w:rFonts w:ascii="Verdana" w:hAnsi="Verdana"/>
                <w:b w:val="0"/>
                <w:sz w:val="16"/>
              </w:rPr>
              <w:t>Asymétrie d'image du produit singulier complexe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0 40 041</w:t>
            </w:r>
          </w:p>
        </w:tc>
        <w:tc>
          <w:tcPr>
            <w:tcW w:type="dxa" w:w="1514"/>
          </w:tcPr>
          <w:p>
            <w:pPr>
              <w:spacing w:before="20" w:after="20"/>
            </w:pPr>
            <w:r/>
            <w:r>
              <w:rPr>
                <w:rFonts w:ascii="Verdana" w:hAnsi="Verdana"/>
                <w:b w:val="0"/>
                <w:sz w:val="16"/>
              </w:rPr>
              <w:t>Aplatissement d'image du produit singulier complexe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0 40 042</w:t>
            </w:r>
          </w:p>
        </w:tc>
        <w:tc>
          <w:tcPr>
            <w:tcW w:type="dxa" w:w="1514"/>
          </w:tcPr>
          <w:p>
            <w:pPr>
              <w:spacing w:before="20" w:after="20"/>
            </w:pPr>
            <w:r/>
            <w:r>
              <w:rPr>
                <w:rFonts w:ascii="Verdana" w:hAnsi="Verdana"/>
                <w:b w:val="0"/>
                <w:sz w:val="16"/>
              </w:rPr>
              <w:t>Variance d'image du produit singulier complexe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0 40 043</w:t>
            </w:r>
          </w:p>
        </w:tc>
        <w:tc>
          <w:tcPr>
            <w:tcW w:type="dxa" w:w="1514"/>
          </w:tcPr>
          <w:p>
            <w:pPr>
              <w:spacing w:before="20" w:after="20"/>
            </w:pPr>
            <w:r/>
            <w:r>
              <w:rPr>
                <w:rFonts w:ascii="Verdana" w:hAnsi="Verdana"/>
                <w:b w:val="0"/>
                <w:sz w:val="16"/>
              </w:rPr>
              <w:t>Indicateur de manœuvre du satellite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0 40 044</w:t>
            </w:r>
          </w:p>
        </w:tc>
        <w:tc>
          <w:tcPr>
            <w:tcW w:type="dxa" w:w="1514"/>
          </w:tcPr>
          <w:p>
            <w:pPr>
              <w:spacing w:before="20" w:after="20"/>
            </w:pPr>
            <w:r/>
            <w:r>
              <w:rPr>
                <w:rFonts w:ascii="Verdana" w:hAnsi="Verdana"/>
                <w:b w:val="0"/>
                <w:sz w:val="16"/>
              </w:rPr>
              <w:t>Indice de poussière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0 40 045</w:t>
            </w:r>
          </w:p>
        </w:tc>
        <w:tc>
          <w:tcPr>
            <w:tcW w:type="dxa" w:w="1514"/>
          </w:tcPr>
          <w:p>
            <w:pPr>
              <w:spacing w:before="20" w:after="20"/>
            </w:pPr>
            <w:r/>
            <w:r>
              <w:rPr>
                <w:rFonts w:ascii="Verdana" w:hAnsi="Verdana"/>
                <w:b w:val="0"/>
                <w:sz w:val="16"/>
              </w:rPr>
              <w:t>Formation de nuages et détermination de l'altitude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0 40 046</w:t>
            </w:r>
          </w:p>
        </w:tc>
        <w:tc>
          <w:tcPr>
            <w:tcW w:type="dxa" w:w="1514"/>
          </w:tcPr>
          <w:p>
            <w:pPr>
              <w:spacing w:before="20" w:after="20"/>
            </w:pPr>
            <w:r/>
            <w:r>
              <w:rPr>
                <w:rFonts w:ascii="Verdana" w:hAnsi="Verdana"/>
                <w:b w:val="0"/>
                <w:sz w:val="16"/>
              </w:rPr>
              <w:t>Résumé de la nébulosité</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0 40 047</w:t>
            </w:r>
          </w:p>
        </w:tc>
        <w:tc>
          <w:tcPr>
            <w:tcW w:type="dxa" w:w="1514"/>
          </w:tcPr>
          <w:p>
            <w:pPr>
              <w:spacing w:before="20" w:after="20"/>
            </w:pPr>
            <w:r/>
            <w:r>
              <w:rPr>
                <w:rFonts w:ascii="Verdana" w:hAnsi="Verdana"/>
                <w:b w:val="0"/>
                <w:sz w:val="16"/>
              </w:rPr>
              <w:t>Indicateur de validation pour les produits IASI ou IASI-NG de niveau 1</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0 40 048</w:t>
            </w:r>
          </w:p>
        </w:tc>
        <w:tc>
          <w:tcPr>
            <w:tcW w:type="dxa" w:w="1514"/>
          </w:tcPr>
          <w:p>
            <w:pPr>
              <w:spacing w:before="20" w:after="20"/>
            </w:pPr>
            <w:r/>
            <w:r>
              <w:rPr>
                <w:rFonts w:ascii="Verdana" w:hAnsi="Verdana"/>
                <w:b w:val="0"/>
                <w:sz w:val="16"/>
              </w:rPr>
              <w:t>Indicateur de validation pour les flux de données AMSU-A de niveau 1</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0 40 049</w:t>
            </w:r>
          </w:p>
        </w:tc>
        <w:tc>
          <w:tcPr>
            <w:tcW w:type="dxa" w:w="1514"/>
          </w:tcPr>
          <w:p>
            <w:pPr>
              <w:spacing w:before="20" w:after="20"/>
            </w:pPr>
            <w:r/>
            <w:r>
              <w:rPr>
                <w:rFonts w:ascii="Verdana" w:hAnsi="Verdana"/>
                <w:b w:val="0"/>
                <w:sz w:val="16"/>
              </w:rPr>
              <w:t>Tests de nuages effectués et résultats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0 40 050</w:t>
            </w:r>
          </w:p>
        </w:tc>
        <w:tc>
          <w:tcPr>
            <w:tcW w:type="dxa" w:w="1514"/>
          </w:tcPr>
          <w:p>
            <w:pPr>
              <w:spacing w:before="20" w:after="20"/>
            </w:pPr>
            <w:r/>
            <w:r>
              <w:rPr>
                <w:rFonts w:ascii="Verdana" w:hAnsi="Verdana"/>
                <w:b w:val="0"/>
                <w:sz w:val="16"/>
              </w:rPr>
              <w:t>Initialisation de l'extraction</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0 40 051</w:t>
            </w:r>
          </w:p>
        </w:tc>
        <w:tc>
          <w:tcPr>
            <w:tcW w:type="dxa" w:w="1514"/>
          </w:tcPr>
          <w:p>
            <w:pPr>
              <w:spacing w:before="20" w:after="20"/>
            </w:pPr>
            <w:r/>
            <w:r>
              <w:rPr>
                <w:rFonts w:ascii="Verdana" w:hAnsi="Verdana"/>
                <w:b w:val="0"/>
                <w:sz w:val="16"/>
              </w:rPr>
              <w:t>Convergence d'extraction itérative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0 40 052</w:t>
            </w:r>
          </w:p>
        </w:tc>
        <w:tc>
          <w:tcPr>
            <w:tcW w:type="dxa" w:w="1514"/>
          </w:tcPr>
          <w:p>
            <w:pPr>
              <w:spacing w:before="20" w:after="20"/>
            </w:pPr>
            <w:r/>
            <w:r>
              <w:rPr>
                <w:rFonts w:ascii="Verdana" w:hAnsi="Verdana"/>
                <w:b w:val="0"/>
                <w:sz w:val="16"/>
              </w:rPr>
              <w:t>Indication de gradient superadiabatique et de sursaturation dans une extraction finale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0 40 053</w:t>
            </w:r>
          </w:p>
        </w:tc>
        <w:tc>
          <w:tcPr>
            <w:tcW w:type="dxa" w:w="1514"/>
          </w:tcPr>
          <w:p>
            <w:pPr>
              <w:spacing w:before="20" w:after="20"/>
            </w:pPr>
            <w:r/>
            <w:r>
              <w:rPr>
                <w:rFonts w:ascii="Verdana" w:hAnsi="Verdana"/>
                <w:b w:val="0"/>
                <w:sz w:val="16"/>
              </w:rPr>
              <w:t>Nombre d'itérations utilisées pour une extraction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0 40 054</w:t>
            </w:r>
          </w:p>
        </w:tc>
        <w:tc>
          <w:tcPr>
            <w:tcW w:type="dxa" w:w="1514"/>
          </w:tcPr>
          <w:p>
            <w:pPr>
              <w:spacing w:before="20" w:after="20"/>
            </w:pPr>
            <w:r/>
            <w:r>
              <w:rPr>
                <w:rFonts w:ascii="Verdana" w:hAnsi="Verdana"/>
                <w:b w:val="0"/>
                <w:sz w:val="16"/>
              </w:rPr>
              <w:t>Erreurs de traitement et d'entrée potentielles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0 40 055</w:t>
            </w:r>
          </w:p>
        </w:tc>
        <w:tc>
          <w:tcPr>
            <w:tcW w:type="dxa" w:w="1514"/>
          </w:tcPr>
          <w:p>
            <w:pPr>
              <w:spacing w:before="20" w:after="20"/>
            </w:pPr>
            <w:r/>
            <w:r>
              <w:rPr>
                <w:rFonts w:ascii="Verdana" w:hAnsi="Verdana"/>
                <w:b w:val="0"/>
                <w:sz w:val="16"/>
              </w:rPr>
              <w:t>Diagnostics relatifs à l'extraction</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0 40 056</w:t>
            </w:r>
          </w:p>
        </w:tc>
        <w:tc>
          <w:tcPr>
            <w:tcW w:type="dxa" w:w="1514"/>
          </w:tcPr>
          <w:p>
            <w:pPr>
              <w:spacing w:before="20" w:after="20"/>
            </w:pPr>
            <w:r/>
            <w:r>
              <w:rPr>
                <w:rFonts w:ascii="Verdana" w:hAnsi="Verdana"/>
                <w:b w:val="0"/>
                <w:sz w:val="16"/>
              </w:rPr>
              <w:t>Qualité générale d'une extraction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0 40 057</w:t>
            </w:r>
          </w:p>
        </w:tc>
        <w:tc>
          <w:tcPr>
            <w:tcW w:type="dxa" w:w="1514"/>
          </w:tcPr>
          <w:p>
            <w:pPr>
              <w:spacing w:before="20" w:after="20"/>
            </w:pPr>
            <w:r/>
            <w:r>
              <w:rPr>
                <w:rFonts w:ascii="Verdana" w:hAnsi="Verdana"/>
                <w:b w:val="0"/>
                <w:sz w:val="16"/>
              </w:rPr>
              <w:t>Indicateurs d'extraction de données IASI de niveau 2</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0 40 058</w:t>
            </w:r>
          </w:p>
        </w:tc>
        <w:tc>
          <w:tcPr>
            <w:tcW w:type="dxa" w:w="1514"/>
          </w:tcPr>
          <w:p>
            <w:pPr>
              <w:spacing w:before="20" w:after="20"/>
            </w:pPr>
            <w:r/>
            <w:r>
              <w:rPr>
                <w:rFonts w:ascii="Verdana" w:hAnsi="Verdana"/>
                <w:b w:val="0"/>
                <w:sz w:val="16"/>
              </w:rPr>
              <w:t>Nombre de vecteurs décrivant les matrices de caractérisation</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0 40 059</w:t>
            </w:r>
          </w:p>
        </w:tc>
        <w:tc>
          <w:tcPr>
            <w:tcW w:type="dxa" w:w="1514"/>
          </w:tcPr>
          <w:p>
            <w:pPr>
              <w:spacing w:before="20" w:after="20"/>
            </w:pPr>
            <w:r/>
            <w:r>
              <w:rPr>
                <w:rFonts w:ascii="Verdana" w:hAnsi="Verdana"/>
                <w:b w:val="0"/>
                <w:sz w:val="16"/>
              </w:rPr>
              <w:t>Nombre de couches effectivement extraites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0 40 060</w:t>
            </w:r>
          </w:p>
        </w:tc>
        <w:tc>
          <w:tcPr>
            <w:tcW w:type="dxa" w:w="1514"/>
          </w:tcPr>
          <w:p>
            <w:pPr>
              <w:spacing w:before="20" w:after="20"/>
            </w:pPr>
            <w:r/>
            <w:r>
              <w:rPr>
                <w:rFonts w:ascii="Verdana" w:hAnsi="Verdana"/>
                <w:b w:val="0"/>
                <w:sz w:val="16"/>
              </w:rPr>
              <w:t>Nombre de profils extraits sur une ligne de balayage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0 40 061</w:t>
            </w:r>
          </w:p>
        </w:tc>
        <w:tc>
          <w:tcPr>
            <w:tcW w:type="dxa" w:w="1514"/>
          </w:tcPr>
          <w:p>
            <w:pPr>
              <w:spacing w:before="20" w:after="20"/>
            </w:pPr>
            <w:r/>
            <w:r>
              <w:rPr>
                <w:rFonts w:ascii="Verdana" w:hAnsi="Verdana"/>
                <w:b w:val="0"/>
                <w:sz w:val="16"/>
              </w:rPr>
              <w:t>Colonnes partielles d'air dans chaque couche extraite</w:t>
            </w:r>
          </w:p>
        </w:tc>
        <w:tc>
          <w:tcPr>
            <w:tcW w:type="dxa" w:w="1514"/>
          </w:tcPr>
          <w:p>
            <w:pPr>
              <w:spacing w:before="20" w:after="20"/>
            </w:pPr>
            <w:r/>
            <w:r>
              <w:rPr>
                <w:rFonts w:ascii="Verdana" w:hAnsi="Verdana"/>
                <w:sz w:val="16"/>
              </w:rPr>
              <w:t>mol cm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mol cm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0 40 062</w:t>
            </w:r>
          </w:p>
        </w:tc>
        <w:tc>
          <w:tcPr>
            <w:tcW w:type="dxa" w:w="1514"/>
          </w:tcPr>
          <w:p>
            <w:pPr>
              <w:spacing w:before="20" w:after="20"/>
            </w:pPr>
            <w:r/>
            <w:r>
              <w:rPr>
                <w:rFonts w:ascii="Verdana" w:hAnsi="Verdana"/>
                <w:b w:val="0"/>
                <w:sz w:val="16"/>
              </w:rPr>
              <w:t>Colonnes partielles a priori dans chaque couche extraite</w:t>
            </w:r>
          </w:p>
        </w:tc>
        <w:tc>
          <w:tcPr>
            <w:tcW w:type="dxa" w:w="1514"/>
          </w:tcPr>
          <w:p>
            <w:pPr>
              <w:spacing w:before="20" w:after="20"/>
            </w:pPr>
            <w:r/>
            <w:r>
              <w:rPr>
                <w:rFonts w:ascii="Verdana" w:hAnsi="Verdana"/>
                <w:sz w:val="16"/>
              </w:rPr>
              <w:t>mol cm</w:t>
            </w:r>
            <w:r>
              <w:rPr>
                <w:rFonts w:ascii="Verdana" w:hAnsi="Verdana"/>
                <w:sz w:val="16"/>
                <w:vertAlign w:val="superscript"/>
              </w:rPr>
              <w:t>-2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mol cm</w:t>
            </w:r>
            <w:r>
              <w:rPr>
                <w:rFonts w:ascii="Verdana" w:hAnsi="Verdana"/>
                <w:sz w:val="16"/>
                <w:vertAlign w:val="superscript"/>
              </w:rPr>
              <w:t>-2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0 40 063</w:t>
            </w:r>
          </w:p>
        </w:tc>
        <w:tc>
          <w:tcPr>
            <w:tcW w:type="dxa" w:w="1514"/>
          </w:tcPr>
          <w:p>
            <w:pPr>
              <w:spacing w:before="20" w:after="20"/>
            </w:pPr>
            <w:r/>
            <w:r>
              <w:rPr>
                <w:rFonts w:ascii="Verdana" w:hAnsi="Verdana"/>
                <w:b w:val="0"/>
                <w:sz w:val="16"/>
              </w:rPr>
              <w:t>Vecteur de mise à l'échelle multipliant le vecteur CO a priori afin de définir le vecteur CO extrait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0 40 064</w:t>
            </w:r>
          </w:p>
        </w:tc>
        <w:tc>
          <w:tcPr>
            <w:tcW w:type="dxa" w:w="1514"/>
          </w:tcPr>
          <w:p>
            <w:pPr>
              <w:spacing w:before="20" w:after="20"/>
            </w:pPr>
            <w:r/>
            <w:r>
              <w:rPr>
                <w:rFonts w:ascii="Verdana" w:hAnsi="Verdana"/>
                <w:b w:val="0"/>
                <w:sz w:val="16"/>
              </w:rPr>
              <w:t>Principales valeurs propres de la matrice de sensibilité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0 40 065</w:t>
            </w:r>
          </w:p>
        </w:tc>
        <w:tc>
          <w:tcPr>
            <w:tcW w:type="dxa" w:w="1514"/>
          </w:tcPr>
          <w:p>
            <w:pPr>
              <w:spacing w:before="20" w:after="20"/>
            </w:pPr>
            <w:r/>
            <w:r>
              <w:rPr>
                <w:rFonts w:ascii="Verdana" w:hAnsi="Verdana"/>
                <w:b w:val="0"/>
                <w:sz w:val="16"/>
              </w:rPr>
              <w:t>Principaux vecteurs propres de la matrice de sensibilité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-1000000000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0 40 066</w:t>
            </w:r>
          </w:p>
        </w:tc>
        <w:tc>
          <w:tcPr>
            <w:tcW w:type="dxa" w:w="1514"/>
          </w:tcPr>
          <w:p>
            <w:pPr>
              <w:spacing w:before="20" w:after="20"/>
            </w:pPr>
            <w:r/>
            <w:r>
              <w:rPr>
                <w:rFonts w:ascii="Verdana" w:hAnsi="Verdana"/>
                <w:b w:val="0"/>
                <w:sz w:val="16"/>
              </w:rPr>
              <w:t>Indicateur de qualité pour la vapeur d'eau atmosphérique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0 40 067</w:t>
            </w:r>
          </w:p>
        </w:tc>
        <w:tc>
          <w:tcPr>
            <w:tcW w:type="dxa" w:w="1514"/>
          </w:tcPr>
          <w:p>
            <w:pPr>
              <w:spacing w:before="20" w:after="20"/>
            </w:pPr>
            <w:r/>
            <w:r>
              <w:rPr>
                <w:rFonts w:ascii="Verdana" w:hAnsi="Verdana"/>
                <w:b w:val="0"/>
                <w:sz w:val="16"/>
              </w:rPr>
              <w:t>Indicateur de qualité pour la température atmosphérique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0 40 068</w:t>
            </w:r>
          </w:p>
        </w:tc>
        <w:tc>
          <w:tcPr>
            <w:tcW w:type="dxa" w:w="1514"/>
          </w:tcPr>
          <w:p>
            <w:pPr>
              <w:spacing w:before="20" w:after="20"/>
            </w:pPr>
            <w:r/>
            <w:r>
              <w:rPr>
                <w:rFonts w:ascii="Verdana" w:hAnsi="Verdana"/>
                <w:b w:val="0"/>
                <w:sz w:val="16"/>
              </w:rPr>
              <w:t>Indicateur général de la qualité des extractions pour le SO2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0 40 069</w:t>
            </w:r>
          </w:p>
        </w:tc>
        <w:tc>
          <w:tcPr>
            <w:tcW w:type="dxa" w:w="1514"/>
          </w:tcPr>
          <w:p>
            <w:pPr>
              <w:spacing w:before="20" w:after="20"/>
            </w:pPr>
            <w:r/>
            <w:r>
              <w:rPr>
                <w:rFonts w:ascii="Verdana" w:hAnsi="Verdana"/>
                <w:b w:val="0"/>
                <w:sz w:val="16"/>
              </w:rPr>
              <w:t>Erreur d'extraction estimative de la température de l'air en surface selon la méthode PWLR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(voir Note)</w:t>
            </w:r>
          </w:p>
        </w:tc>
      </w:tr>
      <w:tr>
        <w:trPr>
          <w:cantSplit/>
        </w:trPr>
        <w:tc>
          <w:tcPr>
            <w:tcW w:type="dxa" w:w="1514"/>
          </w:tcPr>
          <w:p>
            <w:pPr>
              <w:spacing w:before="20" w:after="20"/>
            </w:pPr>
            <w:r/>
            <w:r>
              <w:rPr>
                <w:rFonts w:ascii="Verdana" w:hAnsi="Verdana"/>
                <w:b w:val="0"/>
                <w:sz w:val="16"/>
              </w:rPr>
              <w:t>0 40 070</w:t>
            </w:r>
          </w:p>
        </w:tc>
        <w:tc>
          <w:tcPr>
            <w:tcW w:type="dxa" w:w="1514"/>
          </w:tcPr>
          <w:p>
            <w:pPr>
              <w:spacing w:before="20" w:after="20"/>
            </w:pPr>
            <w:r/>
            <w:r>
              <w:rPr>
                <w:rFonts w:ascii="Verdana" w:hAnsi="Verdana"/>
                <w:b w:val="0"/>
                <w:sz w:val="16"/>
              </w:rPr>
              <w:t>Erreur d'extraction estimative du point de rosée en surface selon la méthode PWLR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0 40 071</w:t>
            </w:r>
          </w:p>
        </w:tc>
        <w:tc>
          <w:tcPr>
            <w:tcW w:type="dxa" w:w="1514"/>
          </w:tcPr>
          <w:p>
            <w:pPr>
              <w:spacing w:before="20" w:after="20"/>
            </w:pPr>
            <w:r/>
            <w:r>
              <w:rPr>
                <w:rFonts w:ascii="Verdana" w:hAnsi="Verdana"/>
                <w:b w:val="0"/>
                <w:sz w:val="16"/>
              </w:rPr>
              <w:t>Matrice de covariance d'erreur d'extraction de l'ozone dans le domaine principal des composantes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0 40 072</w:t>
            </w:r>
          </w:p>
        </w:tc>
        <w:tc>
          <w:tcPr>
            <w:tcW w:type="dxa" w:w="1514"/>
          </w:tcPr>
          <w:p>
            <w:pPr>
              <w:spacing w:before="20" w:after="20"/>
            </w:pPr>
            <w:r/>
            <w:r>
              <w:rPr>
                <w:rFonts w:ascii="Verdana" w:hAnsi="Verdana"/>
                <w:b w:val="0"/>
                <w:sz w:val="16"/>
              </w:rPr>
              <w:t>Indicateur estimatif de qualité d'extraction de l'ozone atmosphérique selon la méthode PWLR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0 40 073</w:t>
            </w:r>
          </w:p>
        </w:tc>
        <w:tc>
          <w:tcPr>
            <w:tcW w:type="dxa" w:w="1514"/>
          </w:tcPr>
          <w:p>
            <w:pPr>
              <w:spacing w:before="20" w:after="20"/>
            </w:pPr>
            <w:r/>
            <w:r>
              <w:rPr>
                <w:rFonts w:ascii="Verdana" w:hAnsi="Verdana"/>
                <w:b w:val="0"/>
                <w:sz w:val="16"/>
              </w:rPr>
              <w:t>Erreur d'extraction estimative de la température de la pellicule superficielle selon la méthode PWLR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