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04 : Séquences météorologiques communes aux observations par satellite</w:t>
      </w:r>
    </w:p>
    <w:p>
      <w:r>
        <w:rPr>
          <w:rFonts w:ascii="Verdana" w:hAnsi="Verdana"/>
          <w:b/>
          <w:sz w:val="18"/>
        </w:rPr>
        <w:t>3 04 001 (Pression au sommet des nuages, température,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04 002 (Pression au sommet des nuages,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04 003 (Température en surface)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04 004 (Pression au sommet des nuages, nébulosité, température)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Nébulosité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04 005 (Humidité relative moyenne de la couche)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0 02 024</w:t>
            </w:r>
          </w:p>
        </w:tc>
        <w:tc>
          <w:tcPr>
            <w:tcW w:type="dxa" w:w="3784"/>
          </w:tcPr>
          <w:p>
            <w:pPr>
              <w:spacing w:before="20" w:after="20"/>
            </w:pPr>
            <w:r/>
            <w:r>
              <w:rPr>
                <w:rFonts w:ascii="Verdana" w:hAnsi="Verdana"/>
                <w:b w:val="0"/>
                <w:sz w:val="16"/>
              </w:rPr>
              <w:t>Méthode de calcul de l'humidité moyenne intégrée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Définir la couche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04 006 (Rayonnement)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0 14 001</w:t>
            </w:r>
          </w:p>
        </w:tc>
        <w:tc>
          <w:tcPr>
            <w:tcW w:type="dxa" w:w="3784"/>
          </w:tcPr>
          <w:p>
            <w:pPr>
              <w:spacing w:before="20" w:after="20"/>
            </w:pPr>
            <w:r/>
            <w:r>
              <w:rPr>
                <w:rFonts w:ascii="Verdana" w:hAnsi="Verdana"/>
                <w:b w:val="0"/>
                <w:sz w:val="16"/>
              </w:rPr>
              <w:t>Rayonnement de grande longueur d'onde, intégré sur 24 heures</w:t>
            </w:r>
          </w:p>
        </w:tc>
        <w:tc>
          <w:tcPr>
            <w:tcW w:type="dxa" w:w="3784"/>
          </w:tcPr>
          <w:p>
            <w:pPr>
              <w:spacing w:before="20" w:after="20"/>
            </w:pPr>
            <w:r/>
            <w:r>
              <w:rPr>
                <w:rFonts w:ascii="Verdana" w:hAnsi="Verdana"/>
                <w:b w:val="0"/>
                <w:sz w:val="16"/>
              </w:rPr>
              <w:t>Rayonnement ascendant de grande longueur d'onde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0 14 001</w:t>
            </w:r>
          </w:p>
        </w:tc>
        <w:tc>
          <w:tcPr>
            <w:tcW w:type="dxa" w:w="3784"/>
          </w:tcPr>
          <w:p>
            <w:pPr>
              <w:spacing w:before="20" w:after="20"/>
            </w:pPr>
            <w:r/>
            <w:r>
              <w:rPr>
                <w:rFonts w:ascii="Verdana" w:hAnsi="Verdana"/>
                <w:b w:val="0"/>
                <w:sz w:val="16"/>
              </w:rPr>
              <w:t>Rayonnement de grande longueur d'onde, intégré sur 24 heures</w:t>
            </w:r>
          </w:p>
        </w:tc>
        <w:tc>
          <w:tcPr>
            <w:tcW w:type="dxa" w:w="3784"/>
          </w:tcPr>
          <w:p>
            <w:pPr>
              <w:spacing w:before="20" w:after="20"/>
            </w:pPr>
            <w:r/>
            <w:r>
              <w:rPr>
                <w:rFonts w:ascii="Verdana" w:hAnsi="Verdana"/>
                <w:b w:val="0"/>
                <w:sz w:val="16"/>
              </w:rPr>
              <w:t>Rayonnement descendant de grande longueur d'onde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0 14 003</w:t>
            </w:r>
          </w:p>
        </w:tc>
        <w:tc>
          <w:tcPr>
            <w:tcW w:type="dxa" w:w="3784"/>
          </w:tcPr>
          <w:p>
            <w:pPr>
              <w:spacing w:before="20" w:after="20"/>
            </w:pPr>
            <w:r/>
            <w:r>
              <w:rPr>
                <w:rFonts w:ascii="Verdana" w:hAnsi="Verdana"/>
                <w:b w:val="0"/>
                <w:sz w:val="16"/>
              </w:rPr>
              <w:t>Rayonnement de courte longueur d'onde, intégré sur 24 heures</w:t>
            </w:r>
          </w:p>
        </w:tc>
        <w:tc>
          <w:tcPr>
            <w:tcW w:type="dxa" w:w="3784"/>
          </w:tcPr>
          <w:p>
            <w:pPr>
              <w:spacing w:before="20" w:after="20"/>
            </w:pPr>
            <w:r/>
            <w:r>
              <w:rPr>
                <w:rFonts w:ascii="Verdana" w:hAnsi="Verdana"/>
                <w:b w:val="0"/>
                <w:sz w:val="16"/>
              </w:rPr>
              <w:t>Rayonnement ascendant de courte longueur d'onde</w:t>
            </w:r>
          </w:p>
        </w:tc>
        <w:tc>
          <w:tcPr>
            <w:tcW w:type="dxa" w:w="3784"/>
          </w:tcPr>
          <w:p>
            <w:pPr>
              <w:spacing w:before="20" w:after="20"/>
            </w:pPr>
            <w:r/>
            <w:r>
              <w:rPr>
                <w:rFonts w:ascii="Verdana" w:hAnsi="Verdana"/>
                <w:b w:val="0"/>
                <w:sz w:val="16"/>
              </w:rPr>
            </w:r>
          </w:p>
        </w:tc>
      </w:tr>
    </w:tbl>
    <w:p/>
    <w:p>
      <w:r>
        <w:rPr>
          <w:rFonts w:ascii="Verdana" w:hAnsi="Verdana"/>
          <w:b/>
          <w:sz w:val="18"/>
        </w:rPr>
        <w:t>3 04 011 (GOES-I/M info)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0 02 163</w:t>
            </w:r>
          </w:p>
        </w:tc>
        <w:tc>
          <w:tcPr>
            <w:tcW w:type="dxa" w:w="3784"/>
          </w:tcPr>
          <w:p>
            <w:pPr>
              <w:spacing w:before="20" w:after="20"/>
            </w:pPr>
            <w:r/>
            <w:r>
              <w:rPr>
                <w:rFonts w:ascii="Verdana" w:hAnsi="Verdana"/>
                <w:b w:val="0"/>
                <w:sz w:val="16"/>
              </w:rPr>
              <w:t>Méthode de détermination de l'altitude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0 02 164</w:t>
            </w:r>
          </w:p>
        </w:tc>
        <w:tc>
          <w:tcPr>
            <w:tcW w:type="dxa" w:w="3784"/>
          </w:tcPr>
          <w:p>
            <w:pPr>
              <w:spacing w:before="20" w:after="20"/>
            </w:pPr>
            <w:r/>
            <w:r>
              <w:rPr>
                <w:rFonts w:ascii="Verdana" w:hAnsi="Verdana"/>
                <w:b w:val="0"/>
                <w:sz w:val="16"/>
              </w:rPr>
              <w:t>Méthode de corrélation des traceurs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Identificateur terre/mer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Distance zénithale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0 02 057</w:t>
            </w:r>
          </w:p>
        </w:tc>
        <w:tc>
          <w:tcPr>
            <w:tcW w:type="dxa" w:w="3784"/>
          </w:tcPr>
          <w:p>
            <w:pPr>
              <w:spacing w:before="20" w:after="20"/>
            </w:pPr>
            <w:r/>
            <w:r>
              <w:rPr>
                <w:rFonts w:ascii="Verdana" w:hAnsi="Verdana"/>
                <w:b w:val="0"/>
                <w:sz w:val="16"/>
              </w:rPr>
              <w:t>Origine des renseignements de première approximation pour sondages par satellite GOES-I/M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1 10 004</w:t>
            </w:r>
          </w:p>
        </w:tc>
        <w:tc>
          <w:tcPr>
            <w:tcW w:type="dxa" w:w="3784"/>
          </w:tcPr>
          <w:p>
            <w:pPr>
              <w:spacing w:before="20" w:after="20"/>
            </w:pPr>
            <w:r/>
            <w:r>
              <w:rPr>
                <w:rFonts w:ascii="Verdana" w:hAnsi="Verdana"/>
                <w:b w:val="0"/>
                <w:sz w:val="16"/>
              </w:rPr>
              <w:t>Répéter 10 descripteurs 4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1 03 010</w:t>
            </w:r>
          </w:p>
        </w:tc>
        <w:tc>
          <w:tcPr>
            <w:tcW w:type="dxa" w:w="3784"/>
          </w:tcPr>
          <w:p>
            <w:pPr>
              <w:spacing w:before="20" w:after="20"/>
            </w:pPr>
            <w:r/>
            <w:r>
              <w:rPr>
                <w:rFonts w:ascii="Verdana" w:hAnsi="Verdana"/>
                <w:b w:val="0"/>
                <w:sz w:val="16"/>
              </w:rPr>
              <w:t>Répéter 3 descripteurs 10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0 02 163</w:t>
            </w:r>
          </w:p>
        </w:tc>
        <w:tc>
          <w:tcPr>
            <w:tcW w:type="dxa" w:w="3784"/>
          </w:tcPr>
          <w:p>
            <w:pPr>
              <w:spacing w:before="20" w:after="20"/>
            </w:pPr>
            <w:r/>
            <w:r>
              <w:rPr>
                <w:rFonts w:ascii="Verdana" w:hAnsi="Verdana"/>
                <w:b w:val="0"/>
                <w:sz w:val="16"/>
              </w:rPr>
              <w:t>Méthode de détermination de l'altitude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04 030 (Position de la plate-forme)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0 27 031</w:t>
            </w:r>
          </w:p>
        </w:tc>
        <w:tc>
          <w:tcPr>
            <w:tcW w:type="dxa" w:w="3784"/>
          </w:tcPr>
          <w:p>
            <w:pPr>
              <w:spacing w:before="20" w:after="20"/>
            </w:pPr>
            <w:r/>
            <w:r>
              <w:rPr>
                <w:rFonts w:ascii="Verdana" w:hAnsi="Verdana"/>
                <w:b w:val="0"/>
                <w:sz w:val="16"/>
              </w:rPr>
              <w:t>En direction d'une longitude de 0°, distance à partir du centre de la Terre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0 28 031</w:t>
            </w:r>
          </w:p>
        </w:tc>
        <w:tc>
          <w:tcPr>
            <w:tcW w:type="dxa" w:w="3784"/>
          </w:tcPr>
          <w:p>
            <w:pPr>
              <w:spacing w:before="20" w:after="20"/>
            </w:pPr>
            <w:r/>
            <w:r>
              <w:rPr>
                <w:rFonts w:ascii="Verdana" w:hAnsi="Verdana"/>
                <w:b w:val="0"/>
                <w:sz w:val="16"/>
              </w:rPr>
              <w:t>En direction d'une longitude est à 90°, distance à partir du centre de la Terre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0 10 031</w:t>
            </w:r>
          </w:p>
        </w:tc>
        <w:tc>
          <w:tcPr>
            <w:tcW w:type="dxa" w:w="3784"/>
          </w:tcPr>
          <w:p>
            <w:pPr>
              <w:spacing w:before="20" w:after="20"/>
            </w:pPr>
            <w:r/>
            <w:r>
              <w:rPr>
                <w:rFonts w:ascii="Verdana" w:hAnsi="Verdana"/>
                <w:b w:val="0"/>
                <w:sz w:val="16"/>
              </w:rPr>
              <w:t>En direction du pôle Nord, distance à partir du centre de la Terre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04 031 (Vitesse de déplacement de la plate-forme)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0 01 041</w:t>
            </w:r>
          </w:p>
        </w:tc>
        <w:tc>
          <w:tcPr>
            <w:tcW w:type="dxa" w:w="3784"/>
          </w:tcPr>
          <w:p>
            <w:pPr>
              <w:spacing w:before="20" w:after="20"/>
            </w:pPr>
            <w:r/>
            <w:r>
              <w:rPr>
                <w:rFonts w:ascii="Verdana" w:hAnsi="Verdana"/>
                <w:b w:val="0"/>
                <w:sz w:val="16"/>
              </w:rPr>
              <w:t>Vitesse absolue de la plate-forme - première composante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0 01 042</w:t>
            </w:r>
          </w:p>
        </w:tc>
        <w:tc>
          <w:tcPr>
            <w:tcW w:type="dxa" w:w="3784"/>
          </w:tcPr>
          <w:p>
            <w:pPr>
              <w:spacing w:before="20" w:after="20"/>
            </w:pPr>
            <w:r/>
            <w:r>
              <w:rPr>
                <w:rFonts w:ascii="Verdana" w:hAnsi="Verdana"/>
                <w:b w:val="0"/>
                <w:sz w:val="16"/>
              </w:rPr>
              <w:t>Vitesse absolue de la plate-forme - deuxième composante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0 01 043</w:t>
            </w:r>
          </w:p>
        </w:tc>
        <w:tc>
          <w:tcPr>
            <w:tcW w:type="dxa" w:w="3784"/>
          </w:tcPr>
          <w:p>
            <w:pPr>
              <w:spacing w:before="20" w:after="20"/>
            </w:pPr>
            <w:r/>
            <w:r>
              <w:rPr>
                <w:rFonts w:ascii="Verdana" w:hAnsi="Verdana"/>
                <w:b w:val="0"/>
                <w:sz w:val="16"/>
              </w:rPr>
              <w:t>Vitesse absolue de la plate-forme - troisième composante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04 032 (Nébulosité)</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Fréquence centrale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Largeur de bande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Étendue de la couche nuageuse dans le secteur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0 20 082</w:t>
            </w:r>
          </w:p>
        </w:tc>
        <w:tc>
          <w:tcPr>
            <w:tcW w:type="dxa" w:w="3784"/>
          </w:tcPr>
          <w:p>
            <w:pPr>
              <w:spacing w:before="20" w:after="20"/>
            </w:pPr>
            <w:r/>
            <w:r>
              <w:rPr>
                <w:rFonts w:ascii="Verdana" w:hAnsi="Verdana"/>
                <w:b w:val="0"/>
                <w:sz w:val="16"/>
              </w:rPr>
              <w:t>Partie du segment libre de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Type de nuage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04 033 (Luminance énergétique par ciel clair)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0 02 152</w:t>
            </w:r>
          </w:p>
        </w:tc>
        <w:tc>
          <w:tcPr>
            <w:tcW w:type="dxa" w:w="3784"/>
          </w:tcPr>
          <w:p>
            <w:pPr>
              <w:spacing w:before="20" w:after="20"/>
            </w:pPr>
            <w:r/>
            <w:r>
              <w:rPr>
                <w:rFonts w:ascii="Verdana" w:hAnsi="Verdana"/>
                <w:b w:val="0"/>
                <w:sz w:val="16"/>
              </w:rPr>
              <w:t>Instrument de satellite utilisé dans le traitement des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0 02 166</w:t>
            </w:r>
          </w:p>
        </w:tc>
        <w:tc>
          <w:tcPr>
            <w:tcW w:type="dxa" w:w="3784"/>
          </w:tcPr>
          <w:p>
            <w:pPr>
              <w:spacing w:before="20" w:after="20"/>
            </w:pPr>
            <w:r/>
            <w:r>
              <w:rPr>
                <w:rFonts w:ascii="Verdana" w:hAnsi="Verdana"/>
                <w:b w:val="0"/>
                <w:sz w:val="16"/>
              </w:rPr>
              <w:t>Type de luminance énergétique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0 02 167</w:t>
            </w:r>
          </w:p>
        </w:tc>
        <w:tc>
          <w:tcPr>
            <w:tcW w:type="dxa" w:w="3784"/>
          </w:tcPr>
          <w:p>
            <w:pPr>
              <w:spacing w:before="20" w:after="20"/>
            </w:pPr>
            <w:r/>
            <w:r>
              <w:rPr>
                <w:rFonts w:ascii="Verdana" w:hAnsi="Verdana"/>
                <w:b w:val="0"/>
                <w:sz w:val="16"/>
              </w:rPr>
              <w:t>Méthode de calcul de la luminance énergétique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Fréquence centrale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Largeur de bande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0 12 075</w:t>
            </w:r>
          </w:p>
        </w:tc>
        <w:tc>
          <w:tcPr>
            <w:tcW w:type="dxa" w:w="3784"/>
          </w:tcPr>
          <w:p>
            <w:pPr>
              <w:spacing w:before="20" w:after="20"/>
            </w:pPr>
            <w:r/>
            <w:r>
              <w:rPr>
                <w:rFonts w:ascii="Verdana" w:hAnsi="Verdana"/>
                <w:b w:val="0"/>
                <w:sz w:val="16"/>
              </w:rPr>
              <w:t>Luminance énergétique spectrale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0 12 076</w:t>
            </w:r>
          </w:p>
        </w:tc>
        <w:tc>
          <w:tcPr>
            <w:tcW w:type="dxa" w:w="3784"/>
          </w:tcPr>
          <w:p>
            <w:pPr>
              <w:spacing w:before="20" w:after="20"/>
            </w:pPr>
            <w:r/>
            <w:r>
              <w:rPr>
                <w:rFonts w:ascii="Verdana" w:hAnsi="Verdana"/>
                <w:b w:val="0"/>
                <w:sz w:val="16"/>
              </w:rPr>
              <w:t>Luminance énergétique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04 034 (Latitude/longitude, hauteur du soleil, nombre de couches)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1 02 004</w:t>
            </w:r>
          </w:p>
        </w:tc>
        <w:tc>
          <w:tcPr>
            <w:tcW w:type="dxa" w:w="3784"/>
          </w:tcPr>
          <w:p>
            <w:pPr>
              <w:spacing w:before="20" w:after="20"/>
            </w:pPr>
            <w:r/>
            <w:r>
              <w:rPr>
                <w:rFonts w:ascii="Verdana" w:hAnsi="Verdana"/>
                <w:b w:val="0"/>
                <w:sz w:val="16"/>
              </w:rPr>
              <w:t>Répéter 2 descripteurs 4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0 27 001</w:t>
            </w:r>
          </w:p>
        </w:tc>
        <w:tc>
          <w:tcPr>
            <w:tcW w:type="dxa" w:w="3784"/>
          </w:tcPr>
          <w:p>
            <w:pPr>
              <w:spacing w:before="20" w:after="20"/>
            </w:pPr>
            <w:r/>
            <w:r>
              <w:rPr>
                <w:rFonts w:ascii="Verdana" w:hAnsi="Verdana"/>
                <w:b w:val="0"/>
                <w:sz w:val="16"/>
              </w:rPr>
              <w:t>Latitude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0 28 001</w:t>
            </w:r>
          </w:p>
        </w:tc>
        <w:tc>
          <w:tcPr>
            <w:tcW w:type="dxa" w:w="3784"/>
          </w:tcPr>
          <w:p>
            <w:pPr>
              <w:spacing w:before="20" w:after="20"/>
            </w:pPr>
            <w:r/>
            <w:r>
              <w:rPr>
                <w:rFonts w:ascii="Verdana" w:hAnsi="Verdana"/>
                <w:b w:val="0"/>
                <w:sz w:val="16"/>
              </w:rPr>
              <w:t>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0 07 022</w:t>
            </w:r>
          </w:p>
        </w:tc>
        <w:tc>
          <w:tcPr>
            <w:tcW w:type="dxa" w:w="3784"/>
          </w:tcPr>
          <w:p>
            <w:pPr>
              <w:spacing w:before="20" w:after="20"/>
            </w:pPr>
            <w:r/>
            <w:r>
              <w:rPr>
                <w:rFonts w:ascii="Verdana" w:hAnsi="Verdana"/>
                <w:b w:val="0"/>
                <w:sz w:val="16"/>
              </w:rPr>
              <w:t>Hauteur du soleil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Numéro du champ de vision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Nébulosité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Pression au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0 33 003</w:t>
            </w:r>
          </w:p>
        </w:tc>
        <w:tc>
          <w:tcPr>
            <w:tcW w:type="dxa" w:w="3784"/>
          </w:tcPr>
          <w:p>
            <w:pPr>
              <w:spacing w:before="20" w:after="20"/>
            </w:pPr>
            <w:r/>
            <w:r>
              <w:rPr>
                <w:rFonts w:ascii="Verdana" w:hAnsi="Verdana"/>
                <w:b w:val="0"/>
                <w:sz w:val="16"/>
              </w:rPr>
              <w:t>Informations sur la qualité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0 10 040</w:t>
            </w:r>
          </w:p>
        </w:tc>
        <w:tc>
          <w:tcPr>
            <w:tcW w:type="dxa" w:w="3784"/>
          </w:tcPr>
          <w:p>
            <w:pPr>
              <w:spacing w:before="20" w:after="20"/>
            </w:pPr>
            <w:r/>
            <w:r>
              <w:rPr>
                <w:rFonts w:ascii="Verdana" w:hAnsi="Verdana"/>
                <w:b w:val="0"/>
                <w:sz w:val="16"/>
              </w:rPr>
              <w:t>Données extraites concernant le nombre de couches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04 035 (Toutes les données relatives à la luminance énergétique du ciel)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Fréquence centrale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 Les opérations indiquées par les descripteurs d’opérateurs 2 01, 2 02, 2 03, 2 04, 2 07 et 2 08 restent applicables tant qu’elles ne font pas l’objet d’une annulation ou jusqu’à la fin de la sous-série de données.</w:t>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Largeur de bande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 Les opérations indiquées par les descripteurs d’opérateurs 2 01, 2 02, 2 03, 2 04, 2 07 et 2 08 restent applicables tant qu’elles ne font pas l’objet d’une annulation ou jusqu’à la fin de la sous-série de données.</w:t>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 Les opérations indiquées par les descripteurs d’opérateurs 2 01, 2 02, 2 03, 2 04, 2 07 et 2 08 restent applicables tant qu’elles ne font pas l’objet d’une annulation ou jusqu’à la fin de la sous-série de données.</w:t>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Type de pixel: clair</w:t>
            </w:r>
          </w:p>
        </w:tc>
        <w:tc>
          <w:tcPr>
            <w:tcW w:type="dxa" w:w="3784"/>
          </w:tcPr>
          <w:p>
            <w:pPr>
              <w:spacing w:before="20" w:after="20"/>
            </w:pPr>
            <w:r/>
            <w:r>
              <w:rPr>
                <w:rFonts w:ascii="Verdana" w:hAnsi="Verdana"/>
                <w:b w:val="0"/>
                <w:sz w:val="16"/>
              </w:rPr>
              <w:t>Note 1: Les opérations indiquées par les descripteurs d’opérateurs 2 01, 2 02, 2 03, 2 04, 2 07 et 2 08 restent applicables tant qu’elles ne font pas l’objet d’une annulation ou jusqu’à la fin de la sous-série de données.</w:t>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t>Clair</w:t>
            </w:r>
          </w:p>
        </w:tc>
        <w:tc>
          <w:tcPr>
            <w:tcW w:type="dxa" w:w="3784"/>
          </w:tcPr>
          <w:p>
            <w:pPr>
              <w:spacing w:before="20" w:after="20"/>
            </w:pPr>
            <w:r/>
            <w:r>
              <w:rPr>
                <w:rFonts w:ascii="Verdana" w:hAnsi="Verdana"/>
                <w:b w:val="0"/>
                <w:sz w:val="16"/>
              </w:rPr>
              <w:t>Note 1: Les opérations indiquées par les descripteurs d’opérateurs 2 01, 2 02, 2 03, 2 04, 2 07 et 2 08 restent applicables tant qu’elles ne font pas l’objet d’une annulation ou jusqu’à la fin de la sous-série de données.</w:t>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Type de pixel: couvert</w:t>
            </w:r>
          </w:p>
        </w:tc>
        <w:tc>
          <w:tcPr>
            <w:tcW w:type="dxa" w:w="3784"/>
          </w:tcPr>
          <w:p>
            <w:pPr>
              <w:spacing w:before="20" w:after="20"/>
            </w:pPr>
            <w:r/>
            <w:r>
              <w:rPr>
                <w:rFonts w:ascii="Verdana" w:hAnsi="Verdana"/>
                <w:b w:val="0"/>
                <w:sz w:val="16"/>
              </w:rPr>
              <w:t>Note 1: Les opérations indiquées par les descripteurs d’opérateurs 2 01, 2 02, 2 03, 2 04, 2 07 et 2 08 restent applicables tant qu’elles ne font pas l’objet d’une annulation ou jusqu’à la fin de la sous-série de données.</w:t>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t>Couvert</w:t>
            </w:r>
          </w:p>
        </w:tc>
        <w:tc>
          <w:tcPr>
            <w:tcW w:type="dxa" w:w="3784"/>
          </w:tcPr>
          <w:p>
            <w:pPr>
              <w:spacing w:before="20" w:after="20"/>
            </w:pPr>
            <w:r/>
            <w:r>
              <w:rPr>
                <w:rFonts w:ascii="Verdana" w:hAnsi="Verdana"/>
                <w:b w:val="0"/>
                <w:sz w:val="16"/>
              </w:rPr>
              <w:t>Note 1: Les opérations indiquées par les descripteurs d’opérateurs 2 01, 2 02, 2 03, 2 04, 2 07 et 2 08 restent applicables tant qu’elles ne font pas l’objet d’une annulation ou jusqu’à la fin de la sous-série de données.</w:t>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t>Note 1: Les opérations indiquées par les descripteurs d’opérateurs 2 01, 2 02, 2 03, 2 04, 2 07 et 2 08 restent applicables tant qu’elles ne font pas l’objet d’une annulation ou jusqu’à la fin de la sous-série de données.</w:t>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Nuages de l'étage inférieur</w:t>
            </w:r>
          </w:p>
        </w:tc>
        <w:tc>
          <w:tcPr>
            <w:tcW w:type="dxa" w:w="3784"/>
          </w:tcPr>
          <w:p>
            <w:pPr>
              <w:spacing w:before="20" w:after="20"/>
            </w:pPr>
            <w:r/>
            <w:r>
              <w:rPr>
                <w:rFonts w:ascii="Verdana" w:hAnsi="Verdana"/>
                <w:b w:val="0"/>
                <w:sz w:val="16"/>
              </w:rPr>
              <w:t>Note 1: Les opérations indiquées par les descripteurs d’opérateurs 2 01, 2 02, 2 03, 2 04, 2 07 et 2 08 restent applicables tant qu’elles ne font pas l’objet d’une annulation ou jusqu’à la fin de la sous-série de données.</w:t>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t>Nuages de l'étage inférieur</w:t>
            </w:r>
          </w:p>
        </w:tc>
        <w:tc>
          <w:tcPr>
            <w:tcW w:type="dxa" w:w="3784"/>
          </w:tcPr>
          <w:p>
            <w:pPr>
              <w:spacing w:before="20" w:after="20"/>
            </w:pPr>
            <w:r/>
            <w:r>
              <w:rPr>
                <w:rFonts w:ascii="Verdana" w:hAnsi="Verdana"/>
                <w:b w:val="0"/>
                <w:sz w:val="16"/>
              </w:rPr>
              <w:t>Note 1: Les opérations indiquées par les descripteurs d’opérateurs 2 01, 2 02, 2 03, 2 04, 2 07 et 2 08 restent applicables tant qu’elles ne font pas l’objet d’une annulation ou jusqu’à la fin de la sous-série de données.</w:t>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Nuages de l'étage moyen</w:t>
            </w:r>
          </w:p>
        </w:tc>
        <w:tc>
          <w:tcPr>
            <w:tcW w:type="dxa" w:w="3784"/>
          </w:tcPr>
          <w:p>
            <w:pPr>
              <w:spacing w:before="20" w:after="20"/>
            </w:pPr>
            <w:r/>
            <w:r>
              <w:rPr>
                <w:rFonts w:ascii="Verdana" w:hAnsi="Verdana"/>
                <w:b w:val="0"/>
                <w:sz w:val="16"/>
              </w:rPr>
              <w:t>Note 1: Les opérations indiquées par les descripteurs d’opérateurs 2 01, 2 02, 2 03, 2 04, 2 07 et 2 08 restent applicables tant qu’elles ne font pas l’objet d’une annulation ou jusqu’à la fin de la sous-série de données.</w:t>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t>Nuages de l'étage moyen</w:t>
            </w:r>
          </w:p>
        </w:tc>
        <w:tc>
          <w:tcPr>
            <w:tcW w:type="dxa" w:w="3784"/>
          </w:tcPr>
          <w:p>
            <w:pPr>
              <w:spacing w:before="20" w:after="20"/>
            </w:pPr>
            <w:r/>
            <w:r>
              <w:rPr>
                <w:rFonts w:ascii="Verdana" w:hAnsi="Verdana"/>
                <w:b w:val="0"/>
                <w:sz w:val="16"/>
              </w:rPr>
              <w:t>Note 1: Les opérations indiquées par les descripteurs d’opérateurs 2 01, 2 02, 2 03, 2 04, 2 07 et 2 08 restent applicables tant qu’elles ne font pas l’objet d’une annulation ou jusqu’à la fin de la sous-série de données.</w:t>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Nuages de l'étage supérieur</w:t>
            </w:r>
          </w:p>
        </w:tc>
        <w:tc>
          <w:tcPr>
            <w:tcW w:type="dxa" w:w="3784"/>
          </w:tcPr>
          <w:p>
            <w:pPr>
              <w:spacing w:before="20" w:after="20"/>
            </w:pPr>
            <w:r/>
            <w:r>
              <w:rPr>
                <w:rFonts w:ascii="Verdana" w:hAnsi="Verdana"/>
                <w:b w:val="0"/>
                <w:sz w:val="16"/>
              </w:rPr>
              <w:t>Note 1: Les opérations indiquées par les descripteurs d’opérateurs 2 01, 2 02, 2 03, 2 04, 2 07 et 2 08 restent applicables tant qu’elles ne font pas l’objet d’une annulation ou jusqu’à la fin de la sous-série de données.</w:t>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t>Nuages de l'étage supérieur</w:t>
            </w:r>
          </w:p>
        </w:tc>
        <w:tc>
          <w:tcPr>
            <w:tcW w:type="dxa" w:w="3784"/>
          </w:tcPr>
          <w:p>
            <w:pPr>
              <w:spacing w:before="20" w:after="20"/>
            </w:pPr>
            <w:r/>
            <w:r>
              <w:rPr>
                <w:rFonts w:ascii="Verdana" w:hAnsi="Verdana"/>
                <w:b w:val="0"/>
                <w:sz w:val="16"/>
              </w:rPr>
              <w:t>Note 1: Les opérations indiquées par les descripteurs d’opérateurs 2 01, 2 02, 2 03, 2 04, 2 07 et 2 08 restent applicables tant qu’elles ne font pas l’objet d’une annulation ou jusqu’à la fin de la sous-série de données.</w:t>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t>Note 1: Les opérations indiquées par les descripteurs d’opérateurs 2 01, 2 02, 2 03, 2 04, 2 07 et 2 08 restent applicables tant qu’elles ne font pas l’objet d’une annulation ou jusqu’à la fin de la sous-série de données.</w:t>
            </w:r>
          </w:p>
        </w:tc>
      </w:tr>
    </w:tbl>
    <w:p/>
    <w:p>
      <w:r>
        <w:rPr>
          <w:rFonts w:ascii="Verdana" w:hAnsi="Verdana"/>
          <w:b/>
          <w:sz w:val="18"/>
        </w:rPr>
        <w:t>3 04 036 (Couverture nuageuse)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0 20 082</w:t>
            </w:r>
          </w:p>
        </w:tc>
        <w:tc>
          <w:tcPr>
            <w:tcW w:type="dxa" w:w="3784"/>
          </w:tcPr>
          <w:p>
            <w:pPr>
              <w:spacing w:before="20" w:after="20"/>
            </w:pPr>
            <w:r/>
            <w:r>
              <w:rPr>
                <w:rFonts w:ascii="Verdana" w:hAnsi="Verdana"/>
                <w:b w:val="0"/>
                <w:sz w:val="16"/>
              </w:rPr>
              <w:t>Partie du segment libre de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Identificateur terre/mer</w:t>
            </w:r>
          </w:p>
        </w:tc>
        <w:tc>
          <w:tcPr>
            <w:tcW w:type="dxa" w:w="3784"/>
          </w:tcPr>
          <w:p>
            <w:pPr>
              <w:spacing w:before="20" w:after="20"/>
            </w:pPr>
            <w:r/>
            <w:r>
              <w:rPr>
                <w:rFonts w:ascii="Verdana" w:hAnsi="Verdana"/>
                <w:b w:val="0"/>
                <w:sz w:val="16"/>
              </w:rPr>
              <w:t>Mer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0 20 082</w:t>
            </w:r>
          </w:p>
        </w:tc>
        <w:tc>
          <w:tcPr>
            <w:tcW w:type="dxa" w:w="3784"/>
          </w:tcPr>
          <w:p>
            <w:pPr>
              <w:spacing w:before="20" w:after="20"/>
            </w:pPr>
            <w:r/>
            <w:r>
              <w:rPr>
                <w:rFonts w:ascii="Verdana" w:hAnsi="Verdana"/>
                <w:b w:val="0"/>
                <w:sz w:val="16"/>
              </w:rPr>
              <w:t>Partie du segment libre de nuages</w:t>
            </w:r>
          </w:p>
        </w:tc>
        <w:tc>
          <w:tcPr>
            <w:tcW w:type="dxa" w:w="3784"/>
          </w:tcPr>
          <w:p>
            <w:pPr>
              <w:spacing w:before="20" w:after="20"/>
            </w:pPr>
            <w:r/>
            <w:r>
              <w:rPr>
                <w:rFonts w:ascii="Verdana" w:hAnsi="Verdana"/>
                <w:b w:val="0"/>
                <w:sz w:val="16"/>
              </w:rPr>
              <w:t>Mer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Identificateur terre/mer</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Étendue de la couche nuageuse dans le secteur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Nuages de l'étage inférieur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Étendue de la couche nuageuse dans le secteur</w:t>
            </w:r>
          </w:p>
        </w:tc>
        <w:tc>
          <w:tcPr>
            <w:tcW w:type="dxa" w:w="3784"/>
          </w:tcPr>
          <w:p>
            <w:pPr>
              <w:spacing w:before="20" w:after="20"/>
            </w:pPr>
            <w:r/>
            <w:r>
              <w:rPr>
                <w:rFonts w:ascii="Verdana" w:hAnsi="Verdana"/>
                <w:b w:val="0"/>
                <w:sz w:val="16"/>
              </w:rPr>
              <w:t>Nuages de l'étage inférieur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Nuages de l'étage moyen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Étendue de la couche nuageuse dans le secteur</w:t>
            </w:r>
          </w:p>
        </w:tc>
        <w:tc>
          <w:tcPr>
            <w:tcW w:type="dxa" w:w="3784"/>
          </w:tcPr>
          <w:p>
            <w:pPr>
              <w:spacing w:before="20" w:after="20"/>
            </w:pPr>
            <w:r/>
            <w:r>
              <w:rPr>
                <w:rFonts w:ascii="Verdana" w:hAnsi="Verdana"/>
                <w:b w:val="0"/>
                <w:sz w:val="16"/>
              </w:rPr>
              <w:t>Nuages de l'étage moyen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Nuages de l'étage supérieur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Étendue de la couche nuageuse dans le secteur</w:t>
            </w:r>
          </w:p>
        </w:tc>
        <w:tc>
          <w:tcPr>
            <w:tcW w:type="dxa" w:w="3784"/>
          </w:tcPr>
          <w:p>
            <w:pPr>
              <w:spacing w:before="20" w:after="20"/>
            </w:pPr>
            <w:r/>
            <w:r>
              <w:rPr>
                <w:rFonts w:ascii="Verdana" w:hAnsi="Verdana"/>
                <w:b w:val="0"/>
                <w:sz w:val="16"/>
              </w:rPr>
              <w:t>Nuages de l'étage supérieur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bl>
    <w:p/>
    <w:p>
      <w:r>
        <w:rPr>
          <w:rFonts w:ascii="Verdana" w:hAnsi="Verdana"/>
          <w:b/>
          <w:sz w:val="18"/>
        </w:rPr>
        <w:t>3 04 037 (Toutes les données relatives à la luminance énergétique du ciel)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Fréquence centrale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Largeur de bande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Type de pixel: clair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t>Clair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Type de pixel: couvert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t>Couvert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Caractéristique météorologique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Nuages de l'étage inférieur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t>Nuages de l'étage inférieur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Nuages de l'étage moyen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t>Nuages de l'étage moyen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Nuages de l'étage supérieur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t>Nuages de l'étage supérieur</w:t>
            </w:r>
          </w:p>
        </w:tc>
        <w:tc>
          <w:tcPr>
            <w:tcW w:type="dxa" w:w="3784"/>
          </w:tcPr>
          <w:p>
            <w:pPr>
              <w:spacing w:before="20" w:after="20"/>
            </w:pPr>
            <w:r/>
            <w:r>
              <w:rPr>
                <w:rFonts w:ascii="Verdana" w:hAnsi="Verdana"/>
                <w:b w:val="0"/>
                <w:sz w:val="16"/>
              </w:rPr>
            </w:r>
          </w:p>
        </w:tc>
      </w:tr>
    </w:tbl>
    <w:p/>
    <w:p>
      <w:r>
        <w:rPr>
          <w:rFonts w:ascii="Verdana" w:hAnsi="Verdana"/>
          <w:b/>
          <w:sz w:val="18"/>
        </w:rPr>
        <w:t>3 04 039 (Radiance dans le canal)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2 01 136</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Ajouter 8 au champ de données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Numéro du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0 14 046</w:t>
            </w:r>
          </w:p>
        </w:tc>
        <w:tc>
          <w:tcPr>
            <w:tcW w:type="dxa" w:w="3784"/>
          </w:tcPr>
          <w:p>
            <w:pPr>
              <w:spacing w:before="20" w:after="20"/>
            </w:pPr>
            <w:r/>
            <w:r>
              <w:rPr>
                <w:rFonts w:ascii="Verdana" w:hAnsi="Verdana"/>
                <w:b w:val="0"/>
                <w:sz w:val="16"/>
              </w:rPr>
              <w:t>Luminance énergétique mise à l'échelle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04 040 (Score des composantes principales dans la bande)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0 25 140</w:t>
            </w:r>
          </w:p>
        </w:tc>
        <w:tc>
          <w:tcPr>
            <w:tcW w:type="dxa" w:w="3784"/>
          </w:tcPr>
          <w:p>
            <w:pPr>
              <w:spacing w:before="20" w:after="20"/>
            </w:pPr>
            <w:r/>
            <w:r>
              <w:rPr>
                <w:rFonts w:ascii="Verdana" w:hAnsi="Verdana"/>
                <w:b w:val="0"/>
                <w:sz w:val="16"/>
              </w:rPr>
              <w:t>Début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0 25 141</w:t>
            </w:r>
          </w:p>
        </w:tc>
        <w:tc>
          <w:tcPr>
            <w:tcW w:type="dxa" w:w="3784"/>
          </w:tcPr>
          <w:p>
            <w:pPr>
              <w:spacing w:before="20" w:after="20"/>
            </w:pPr>
            <w:r/>
            <w:r>
              <w:rPr>
                <w:rFonts w:ascii="Verdana" w:hAnsi="Verdana"/>
                <w:b w:val="0"/>
                <w:sz w:val="16"/>
              </w:rPr>
              <w:t>Fin canal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0 40 026</w:t>
            </w:r>
          </w:p>
        </w:tc>
        <w:tc>
          <w:tcPr>
            <w:tcW w:type="dxa" w:w="3784"/>
          </w:tcPr>
          <w:p>
            <w:pPr>
              <w:spacing w:before="20" w:after="20"/>
            </w:pPr>
            <w:r/>
            <w:r>
              <w:rPr>
                <w:rFonts w:ascii="Verdana" w:hAnsi="Verdana"/>
                <w:b w:val="0"/>
                <w:sz w:val="16"/>
              </w:rPr>
              <w:t>Facteur de quantification de l'indice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0 40 016</w:t>
            </w:r>
          </w:p>
        </w:tc>
        <w:tc>
          <w:tcPr>
            <w:tcW w:type="dxa" w:w="3784"/>
          </w:tcPr>
          <w:p>
            <w:pPr>
              <w:spacing w:before="20" w:after="20"/>
            </w:pPr>
            <w:r/>
            <w:r>
              <w:rPr>
                <w:rFonts w:ascii="Verdana" w:hAnsi="Verdana"/>
                <w:b w:val="0"/>
                <w:sz w:val="16"/>
              </w:rPr>
              <w:t>Moyenne quadratique résiduelle en bande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0 25 062</w:t>
            </w:r>
          </w:p>
        </w:tc>
        <w:tc>
          <w:tcPr>
            <w:tcW w:type="dxa" w:w="3784"/>
          </w:tcPr>
          <w:p>
            <w:pPr>
              <w:spacing w:before="20" w:after="20"/>
            </w:pPr>
            <w:r/>
            <w:r>
              <w:rPr>
                <w:rFonts w:ascii="Verdana" w:hAnsi="Verdana"/>
                <w:b w:val="0"/>
                <w:sz w:val="16"/>
              </w:rPr>
              <w:t>Identification de la base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0 40 017</w:t>
            </w:r>
          </w:p>
        </w:tc>
        <w:tc>
          <w:tcPr>
            <w:tcW w:type="dxa" w:w="3784"/>
          </w:tcPr>
          <w:p>
            <w:pPr>
              <w:spacing w:before="20" w:after="20"/>
            </w:pPr>
            <w:r/>
            <w:r>
              <w:rPr>
                <w:rFonts w:ascii="Verdana" w:hAnsi="Verdana"/>
                <w:b w:val="0"/>
                <w:sz w:val="16"/>
              </w:rPr>
              <w:t>Score des composantes principales non normalisé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