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05 : Séquences météorologiques ou hydrologiques communes aux observations hydrologiques</w:t>
      </w:r>
    </w:p>
    <w:p>
      <w:r>
        <w:rPr>
          <w:rFonts w:ascii="Verdana" w:hAnsi="Verdana"/>
          <w:b/>
          <w:sz w:val="18"/>
        </w:rPr>
        <w:t>3 05 001 (Mesure unique SADC-HYCOS)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Précipitations totales cumulées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0 13 071</w:t>
            </w:r>
          </w:p>
        </w:tc>
        <w:tc>
          <w:tcPr>
            <w:tcW w:type="dxa" w:w="3784"/>
          </w:tcPr>
          <w:p>
            <w:pPr>
              <w:spacing w:before="20" w:after="20"/>
            </w:pPr>
            <w:r/>
            <w:r>
              <w:rPr>
                <w:rFonts w:ascii="Verdana" w:hAnsi="Verdana"/>
                <w:b w:val="0"/>
                <w:sz w:val="16"/>
              </w:rPr>
              <w:t>Niveau d'eau en amont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05 002 (Mesure de l'environnement SADC-HYCOS)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0 14 051</w:t>
            </w:r>
          </w:p>
        </w:tc>
        <w:tc>
          <w:tcPr>
            <w:tcW w:type="dxa" w:w="3784"/>
          </w:tcPr>
          <w:p>
            <w:pPr>
              <w:spacing w:before="20" w:after="20"/>
            </w:pPr>
            <w:r/>
            <w:r>
              <w:rPr>
                <w:rFonts w:ascii="Verdana" w:hAnsi="Verdana"/>
                <w:b w:val="0"/>
                <w:sz w:val="16"/>
              </w:rPr>
              <w:t>Rayonnement solaire direct, intégré au cours de la dernière 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Précipitations totales cumulées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0 13 072</w:t>
            </w:r>
          </w:p>
        </w:tc>
        <w:tc>
          <w:tcPr>
            <w:tcW w:type="dxa" w:w="3784"/>
          </w:tcPr>
          <w:p>
            <w:pPr>
              <w:spacing w:before="20" w:after="20"/>
            </w:pPr>
            <w:r/>
            <w:r>
              <w:rPr>
                <w:rFonts w:ascii="Verdana" w:hAnsi="Verdana"/>
                <w:b w:val="0"/>
                <w:sz w:val="16"/>
              </w:rPr>
              <w:t>Niveau d'eau en aval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0 13 080</w:t>
            </w:r>
          </w:p>
        </w:tc>
        <w:tc>
          <w:tcPr>
            <w:tcW w:type="dxa" w:w="3784"/>
          </w:tcPr>
          <w:p>
            <w:pPr>
              <w:spacing w:before="20" w:after="20"/>
            </w:pPr>
            <w:r/>
            <w:r>
              <w:rPr>
                <w:rFonts w:ascii="Verdana" w:hAnsi="Verdana"/>
                <w:b w:val="0"/>
                <w:sz w:val="16"/>
              </w:rPr>
              <w:t>pH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0 13 081</w:t>
            </w:r>
          </w:p>
        </w:tc>
        <w:tc>
          <w:tcPr>
            <w:tcW w:type="dxa" w:w="3784"/>
          </w:tcPr>
          <w:p>
            <w:pPr>
              <w:spacing w:before="20" w:after="20"/>
            </w:pPr>
            <w:r/>
            <w:r>
              <w:rPr>
                <w:rFonts w:ascii="Verdana" w:hAnsi="Verdana"/>
                <w:b w:val="0"/>
                <w:sz w:val="16"/>
              </w:rPr>
              <w:t>Conductivité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0 13 082</w:t>
            </w:r>
          </w:p>
        </w:tc>
        <w:tc>
          <w:tcPr>
            <w:tcW w:type="dxa" w:w="3784"/>
          </w:tcPr>
          <w:p>
            <w:pPr>
              <w:spacing w:before="20" w:after="20"/>
            </w:pPr>
            <w:r/>
            <w:r>
              <w:rPr>
                <w:rFonts w:ascii="Verdana" w:hAnsi="Verdana"/>
                <w:b w:val="0"/>
                <w:sz w:val="16"/>
              </w:rPr>
              <w:t>Température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0 13 083</w:t>
            </w:r>
          </w:p>
        </w:tc>
        <w:tc>
          <w:tcPr>
            <w:tcW w:type="dxa" w:w="3784"/>
          </w:tcPr>
          <w:p>
            <w:pPr>
              <w:spacing w:before="20" w:after="20"/>
            </w:pPr>
            <w:r/>
            <w:r>
              <w:rPr>
                <w:rFonts w:ascii="Verdana" w:hAnsi="Verdana"/>
                <w:b w:val="0"/>
                <w:sz w:val="16"/>
              </w:rPr>
              <w:t>Oxygène dissous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0 13 084</w:t>
            </w:r>
          </w:p>
        </w:tc>
        <w:tc>
          <w:tcPr>
            <w:tcW w:type="dxa" w:w="3784"/>
          </w:tcPr>
          <w:p>
            <w:pPr>
              <w:spacing w:before="20" w:after="20"/>
            </w:pPr>
            <w:r/>
            <w:r>
              <w:rPr>
                <w:rFonts w:ascii="Verdana" w:hAnsi="Verdana"/>
                <w:b w:val="0"/>
                <w:sz w:val="16"/>
              </w:rPr>
              <w:t>Turbidité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05 003 (Définition de la série de mesures SADC-HYCOS)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Première mesure unique moins l'incrément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0 04 065</w:t>
            </w:r>
          </w:p>
        </w:tc>
        <w:tc>
          <w:tcPr>
            <w:tcW w:type="dxa" w:w="3784"/>
          </w:tcPr>
          <w:p>
            <w:pPr>
              <w:spacing w:before="20" w:after="20"/>
            </w:pPr>
            <w:r/>
            <w:r>
              <w:rPr>
                <w:rFonts w:ascii="Verdana" w:hAnsi="Verdana"/>
                <w:b w:val="0"/>
                <w:sz w:val="16"/>
              </w:rPr>
              <w:t>Incrément de courte durée</w:t>
            </w:r>
          </w:p>
        </w:tc>
        <w:tc>
          <w:tcPr>
            <w:tcW w:type="dxa" w:w="3784"/>
          </w:tcPr>
          <w:p>
            <w:pPr>
              <w:spacing w:before="20" w:after="20"/>
            </w:pPr>
            <w:r/>
            <w:r>
              <w:rPr>
                <w:rFonts w:ascii="Verdana" w:hAnsi="Verdana"/>
                <w:b w:val="0"/>
                <w:sz w:val="16"/>
              </w:rPr>
              <w:t>Intervalle de temps entre les mesures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3 05 001</w:t>
            </w:r>
          </w:p>
        </w:tc>
        <w:tc>
          <w:tcPr>
            <w:tcW w:type="dxa" w:w="3784"/>
          </w:tcPr>
          <w:p>
            <w:pPr>
              <w:spacing w:before="20" w:after="20"/>
            </w:pPr>
            <w:r/>
            <w:r>
              <w:rPr>
                <w:rFonts w:ascii="Verdana" w:hAnsi="Verdana"/>
                <w:b w:val="0"/>
                <w:sz w:val="16"/>
              </w:rPr>
              <w:t>Mesure unique SADC-HYCOS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05 004 (Message d'observation SADC-HYCOS)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3 01 030</w:t>
            </w:r>
          </w:p>
        </w:tc>
        <w:tc>
          <w:tcPr>
            <w:tcW w:type="dxa" w:w="3784"/>
          </w:tcPr>
          <w:p>
            <w:pPr>
              <w:spacing w:before="20" w:after="20"/>
            </w:pPr>
            <w:r/>
            <w:r>
              <w:rPr>
                <w:rFonts w:ascii="Verdana" w:hAnsi="Verdana"/>
                <w:b w:val="0"/>
                <w:sz w:val="16"/>
              </w:rPr>
              <w:t>Identification - avec position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3 05 002</w:t>
            </w:r>
          </w:p>
        </w:tc>
        <w:tc>
          <w:tcPr>
            <w:tcW w:type="dxa" w:w="3784"/>
          </w:tcPr>
          <w:p>
            <w:pPr>
              <w:spacing w:before="20" w:after="20"/>
            </w:pPr>
            <w:r/>
            <w:r>
              <w:rPr>
                <w:rFonts w:ascii="Verdana" w:hAnsi="Verdana"/>
                <w:b w:val="0"/>
                <w:sz w:val="16"/>
              </w:rPr>
              <w:t>Mesure de l'environnement SADC-HYCOS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3 05 003</w:t>
            </w:r>
          </w:p>
        </w:tc>
        <w:tc>
          <w:tcPr>
            <w:tcW w:type="dxa" w:w="3784"/>
          </w:tcPr>
          <w:p>
            <w:pPr>
              <w:spacing w:before="20" w:after="20"/>
            </w:pPr>
            <w:r/>
            <w:r>
              <w:rPr>
                <w:rFonts w:ascii="Verdana" w:hAnsi="Verdana"/>
                <w:b w:val="0"/>
                <w:sz w:val="16"/>
              </w:rPr>
              <w:t>Définition de la série de mesures SADC-HYCOS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05 006 (Mesure MEDHYCOS)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0 13 072</w:t>
            </w:r>
          </w:p>
        </w:tc>
        <w:tc>
          <w:tcPr>
            <w:tcW w:type="dxa" w:w="3784"/>
          </w:tcPr>
          <w:p>
            <w:pPr>
              <w:spacing w:before="20" w:after="20"/>
            </w:pPr>
            <w:r/>
            <w:r>
              <w:rPr>
                <w:rFonts w:ascii="Verdana" w:hAnsi="Verdana"/>
                <w:b w:val="0"/>
                <w:sz w:val="16"/>
              </w:rPr>
              <w:t>Niveau d'eau en aval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0 13 082</w:t>
            </w:r>
          </w:p>
        </w:tc>
        <w:tc>
          <w:tcPr>
            <w:tcW w:type="dxa" w:w="3784"/>
          </w:tcPr>
          <w:p>
            <w:pPr>
              <w:spacing w:before="20" w:after="20"/>
            </w:pPr>
            <w:r/>
            <w:r>
              <w:rPr>
                <w:rFonts w:ascii="Verdana" w:hAnsi="Verdana"/>
                <w:b w:val="0"/>
                <w:sz w:val="16"/>
              </w:rPr>
              <w:t>Température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0 13 019</w:t>
            </w:r>
          </w:p>
        </w:tc>
        <w:tc>
          <w:tcPr>
            <w:tcW w:type="dxa" w:w="3784"/>
          </w:tcPr>
          <w:p>
            <w:pPr>
              <w:spacing w:before="20" w:after="20"/>
            </w:pPr>
            <w:r/>
            <w:r>
              <w:rPr>
                <w:rFonts w:ascii="Verdana" w:hAnsi="Verdana"/>
                <w:b w:val="0"/>
                <w:sz w:val="16"/>
              </w:rPr>
              <w:t>Quantité totale de précipitations au cours de l'heure précédente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0 13 073</w:t>
            </w:r>
          </w:p>
        </w:tc>
        <w:tc>
          <w:tcPr>
            <w:tcW w:type="dxa" w:w="3784"/>
          </w:tcPr>
          <w:p>
            <w:pPr>
              <w:spacing w:before="20" w:after="20"/>
            </w:pPr>
            <w:r/>
            <w:r>
              <w:rPr>
                <w:rFonts w:ascii="Verdana" w:hAnsi="Verdana"/>
                <w:b w:val="0"/>
                <w:sz w:val="16"/>
              </w:rPr>
              <w:t>Niveau d'eau maximal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Précipitations totales cumulées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05 007 (Message d'observation MEDHYCOS)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3 01 029</w:t>
            </w:r>
          </w:p>
        </w:tc>
        <w:tc>
          <w:tcPr>
            <w:tcW w:type="dxa" w:w="3784"/>
          </w:tcPr>
          <w:p>
            <w:pPr>
              <w:spacing w:before="20" w:after="20"/>
            </w:pPr>
            <w:r/>
            <w:r>
              <w:rPr>
                <w:rFonts w:ascii="Verdana" w:hAnsi="Verdana"/>
                <w:b w:val="0"/>
                <w:sz w:val="16"/>
              </w:rPr>
              <w:t>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Moment de la première mesure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0 04 065</w:t>
            </w:r>
          </w:p>
        </w:tc>
        <w:tc>
          <w:tcPr>
            <w:tcW w:type="dxa" w:w="3784"/>
          </w:tcPr>
          <w:p>
            <w:pPr>
              <w:spacing w:before="20" w:after="20"/>
            </w:pPr>
            <w:r/>
            <w:r>
              <w:rPr>
                <w:rFonts w:ascii="Verdana" w:hAnsi="Verdana"/>
                <w:b w:val="0"/>
                <w:sz w:val="16"/>
              </w:rPr>
              <w:t>Incrément de courte durée</w:t>
            </w:r>
          </w:p>
        </w:tc>
        <w:tc>
          <w:tcPr>
            <w:tcW w:type="dxa" w:w="3784"/>
          </w:tcPr>
          <w:p>
            <w:pPr>
              <w:spacing w:before="20" w:after="20"/>
            </w:pPr>
            <w:r/>
            <w:r>
              <w:rPr>
                <w:rFonts w:ascii="Verdana" w:hAnsi="Verdana"/>
                <w:b w:val="0"/>
                <w:sz w:val="16"/>
              </w:rPr>
              <w:t>Intervalle de temps entre les mesures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3 05 006</w:t>
            </w:r>
          </w:p>
        </w:tc>
        <w:tc>
          <w:tcPr>
            <w:tcW w:type="dxa" w:w="3784"/>
          </w:tcPr>
          <w:p>
            <w:pPr>
              <w:spacing w:before="20" w:after="20"/>
            </w:pPr>
            <w:r/>
            <w:r>
              <w:rPr>
                <w:rFonts w:ascii="Verdana" w:hAnsi="Verdana"/>
                <w:b w:val="0"/>
                <w:sz w:val="16"/>
              </w:rPr>
              <w:t>Mesure MEDHYCOS</w:t>
            </w:r>
          </w:p>
        </w:tc>
        <w:tc>
          <w:tcPr>
            <w:tcW w:type="dxa" w:w="3784"/>
          </w:tcPr>
          <w:p>
            <w:pPr>
              <w:spacing w:before="20" w:after="20"/>
            </w:pPr>
            <w:r/>
            <w:r>
              <w:rPr>
                <w:rFonts w:ascii="Verdana" w:hAnsi="Verdana"/>
                <w:b w:val="0"/>
                <w:sz w:val="16"/>
              </w:rPr>
              <w:t>Mesure unique</w:t>
            </w:r>
          </w:p>
        </w:tc>
        <w:tc>
          <w:tcPr>
            <w:tcW w:type="dxa" w:w="3784"/>
          </w:tcPr>
          <w:p>
            <w:pPr>
              <w:spacing w:before="20" w:after="20"/>
            </w:pPr>
            <w:r/>
            <w:r>
              <w:rPr>
                <w:rFonts w:ascii="Verdana" w:hAnsi="Verdana"/>
                <w:b w:val="0"/>
                <w:sz w:val="16"/>
              </w:rPr>
            </w:r>
          </w:p>
        </w:tc>
      </w:tr>
    </w:tbl>
    <w:p/>
    <w:p>
      <w:r>
        <w:rPr>
          <w:rFonts w:ascii="Verdana" w:hAnsi="Verdana"/>
          <w:b/>
          <w:sz w:val="18"/>
        </w:rPr>
        <w:t>3 05 008 (Mesure AOCHYCOS-Tchad)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3 05 006</w:t>
            </w:r>
          </w:p>
        </w:tc>
        <w:tc>
          <w:tcPr>
            <w:tcW w:type="dxa" w:w="3784"/>
          </w:tcPr>
          <w:p>
            <w:pPr>
              <w:spacing w:before="20" w:after="20"/>
            </w:pPr>
            <w:r/>
            <w:r>
              <w:rPr>
                <w:rFonts w:ascii="Verdana" w:hAnsi="Verdana"/>
                <w:b w:val="0"/>
                <w:sz w:val="16"/>
              </w:rPr>
              <w:t>Mesure MEDHYCOS</w:t>
            </w:r>
          </w:p>
        </w:tc>
        <w:tc>
          <w:tcPr>
            <w:tcW w:type="dxa" w:w="3784"/>
          </w:tcPr>
          <w:p>
            <w:pPr>
              <w:spacing w:before="20" w:after="20"/>
            </w:pPr>
            <w:r/>
            <w:r>
              <w:rPr>
                <w:rFonts w:ascii="Verdana" w:hAnsi="Verdana"/>
                <w:b w:val="0"/>
                <w:sz w:val="16"/>
              </w:rPr>
              <w:t>Identique à la mesure de type MEDHYCOS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0 12 030</w:t>
            </w:r>
          </w:p>
        </w:tc>
        <w:tc>
          <w:tcPr>
            <w:tcW w:type="dxa" w:w="3784"/>
          </w:tcPr>
          <w:p>
            <w:pPr>
              <w:spacing w:before="20" w:after="20"/>
            </w:pPr>
            <w:r/>
            <w:r>
              <w:rPr>
                <w:rFonts w:ascii="Verdana" w:hAnsi="Verdana"/>
                <w:b w:val="0"/>
                <w:sz w:val="16"/>
              </w:rPr>
              <w:t>Température du sol</w:t>
            </w:r>
          </w:p>
        </w:tc>
        <w:tc>
          <w:tcPr>
            <w:tcW w:type="dxa" w:w="3784"/>
          </w:tcPr>
          <w:p>
            <w:pPr>
              <w:spacing w:before="20" w:after="20"/>
            </w:pPr>
            <w:r/>
            <w:r>
              <w:rPr>
                <w:rFonts w:ascii="Verdana" w:hAnsi="Verdana"/>
                <w:b w:val="0"/>
                <w:sz w:val="16"/>
              </w:rPr>
              <w:t>À une profondeur de 50 cm</w:t>
            </w:r>
          </w:p>
        </w:tc>
        <w:tc>
          <w:tcPr>
            <w:tcW w:type="dxa" w:w="3784"/>
          </w:tcPr>
          <w:p>
            <w:pPr>
              <w:spacing w:before="20" w:after="20"/>
            </w:pPr>
            <w:r/>
            <w:r>
              <w:rPr>
                <w:rFonts w:ascii="Verdana" w:hAnsi="Verdana"/>
                <w:b w:val="0"/>
                <w:sz w:val="16"/>
              </w:rPr>
            </w:r>
          </w:p>
        </w:tc>
      </w:tr>
    </w:tbl>
    <w:p/>
    <w:p>
      <w:r>
        <w:rPr>
          <w:rFonts w:ascii="Verdana" w:hAnsi="Verdana"/>
          <w:b/>
          <w:sz w:val="18"/>
        </w:rPr>
        <w:t>3 05 009 (Message d'observation AOCHYCOS-Tchad)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3 01 029</w:t>
            </w:r>
          </w:p>
        </w:tc>
        <w:tc>
          <w:tcPr>
            <w:tcW w:type="dxa" w:w="3784"/>
          </w:tcPr>
          <w:p>
            <w:pPr>
              <w:spacing w:before="20" w:after="20"/>
            </w:pPr>
            <w:r/>
            <w:r>
              <w:rPr>
                <w:rFonts w:ascii="Verdana" w:hAnsi="Verdana"/>
                <w:b w:val="0"/>
                <w:sz w:val="16"/>
              </w:rPr>
              <w:t>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Moment de la première mesure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0 04 065</w:t>
            </w:r>
          </w:p>
        </w:tc>
        <w:tc>
          <w:tcPr>
            <w:tcW w:type="dxa" w:w="3784"/>
          </w:tcPr>
          <w:p>
            <w:pPr>
              <w:spacing w:before="20" w:after="20"/>
            </w:pPr>
            <w:r/>
            <w:r>
              <w:rPr>
                <w:rFonts w:ascii="Verdana" w:hAnsi="Verdana"/>
                <w:b w:val="0"/>
                <w:sz w:val="16"/>
              </w:rPr>
              <w:t>Incrément de courte durée</w:t>
            </w:r>
          </w:p>
        </w:tc>
        <w:tc>
          <w:tcPr>
            <w:tcW w:type="dxa" w:w="3784"/>
          </w:tcPr>
          <w:p>
            <w:pPr>
              <w:spacing w:before="20" w:after="20"/>
            </w:pPr>
            <w:r/>
            <w:r>
              <w:rPr>
                <w:rFonts w:ascii="Verdana" w:hAnsi="Verdana"/>
                <w:b w:val="0"/>
                <w:sz w:val="16"/>
              </w:rPr>
              <w:t>Intervalle de temps entre les mesures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3 05 008</w:t>
            </w:r>
          </w:p>
        </w:tc>
        <w:tc>
          <w:tcPr>
            <w:tcW w:type="dxa" w:w="3784"/>
          </w:tcPr>
          <w:p>
            <w:pPr>
              <w:spacing w:before="20" w:after="20"/>
            </w:pPr>
            <w:r/>
            <w:r>
              <w:rPr>
                <w:rFonts w:ascii="Verdana" w:hAnsi="Verdana"/>
                <w:b w:val="0"/>
                <w:sz w:val="16"/>
              </w:rPr>
              <w:t>Mesure AOCHYCOS-Tchad</w:t>
            </w:r>
          </w:p>
        </w:tc>
        <w:tc>
          <w:tcPr>
            <w:tcW w:type="dxa" w:w="3784"/>
          </w:tcPr>
          <w:p>
            <w:pPr>
              <w:spacing w:before="20" w:after="20"/>
            </w:pPr>
            <w:r/>
            <w:r>
              <w:rPr>
                <w:rFonts w:ascii="Verdana" w:hAnsi="Verdana"/>
                <w:b w:val="0"/>
                <w:sz w:val="16"/>
              </w:rPr>
              <w:t>Mesure unique</w:t>
            </w:r>
          </w:p>
        </w:tc>
        <w:tc>
          <w:tcPr>
            <w:tcW w:type="dxa" w:w="3784"/>
          </w:tcPr>
          <w:p>
            <w:pPr>
              <w:spacing w:before="20" w:after="20"/>
            </w:pPr>
            <w:r/>
            <w:r>
              <w:rPr>
                <w:rFonts w:ascii="Verdana" w:hAnsi="Verdana"/>
                <w:b w:val="0"/>
                <w:sz w:val="16"/>
              </w:rPr>
            </w:r>
          </w:p>
        </w:tc>
      </w:tr>
    </w:tbl>
    <w:p/>
    <w:p>
      <w:r>
        <w:rPr>
          <w:rFonts w:ascii="Verdana" w:hAnsi="Verdana"/>
          <w:b/>
          <w:sz w:val="18"/>
        </w:rPr>
        <w:t>3 05 010 (Mesure MEDHYCOS de type 2)</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3 05 008</w:t>
            </w:r>
          </w:p>
        </w:tc>
        <w:tc>
          <w:tcPr>
            <w:tcW w:type="dxa" w:w="3784"/>
          </w:tcPr>
          <w:p>
            <w:pPr>
              <w:spacing w:before="20" w:after="20"/>
            </w:pPr>
            <w:r/>
            <w:r>
              <w:rPr>
                <w:rFonts w:ascii="Verdana" w:hAnsi="Verdana"/>
                <w:b w:val="0"/>
                <w:sz w:val="16"/>
              </w:rPr>
              <w:t>Mesure AOCHYCOS-Tchad</w:t>
            </w:r>
          </w:p>
        </w:tc>
        <w:tc>
          <w:tcPr>
            <w:tcW w:type="dxa" w:w="3784"/>
          </w:tcPr>
          <w:p>
            <w:pPr>
              <w:spacing w:before="20" w:after="20"/>
            </w:pPr>
            <w:r/>
            <w:r>
              <w:rPr>
                <w:rFonts w:ascii="Verdana" w:hAnsi="Verdana"/>
                <w:b w:val="0"/>
                <w:sz w:val="16"/>
              </w:rPr>
              <w:t>Identique à la mesure de type AOCHYCOS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0 02 091</w:t>
            </w:r>
          </w:p>
        </w:tc>
        <w:tc>
          <w:tcPr>
            <w:tcW w:type="dxa" w:w="3784"/>
          </w:tcPr>
          <w:p>
            <w:pPr>
              <w:spacing w:before="20" w:after="20"/>
            </w:pPr>
            <w:r/>
            <w:r>
              <w:rPr>
                <w:rFonts w:ascii="Verdana" w:hAnsi="Verdana"/>
                <w:b w:val="0"/>
                <w:sz w:val="16"/>
              </w:rPr>
              <w:t>Capteur d'entrée 4/20 mA</w:t>
            </w:r>
          </w:p>
        </w:tc>
        <w:tc>
          <w:tcPr>
            <w:tcW w:type="dxa" w:w="3784"/>
          </w:tcPr>
          <w:p>
            <w:pPr>
              <w:spacing w:before="20" w:after="20"/>
            </w:pPr>
            <w:r/>
            <w:r>
              <w:rPr>
                <w:rFonts w:ascii="Verdana" w:hAnsi="Verdana"/>
                <w:b w:val="0"/>
                <w:sz w:val="16"/>
              </w:rPr>
              <w:t>N°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0 02 091</w:t>
            </w:r>
          </w:p>
        </w:tc>
        <w:tc>
          <w:tcPr>
            <w:tcW w:type="dxa" w:w="3784"/>
          </w:tcPr>
          <w:p>
            <w:pPr>
              <w:spacing w:before="20" w:after="20"/>
            </w:pPr>
            <w:r/>
            <w:r>
              <w:rPr>
                <w:rFonts w:ascii="Verdana" w:hAnsi="Verdana"/>
                <w:b w:val="0"/>
                <w:sz w:val="16"/>
              </w:rPr>
              <w:t>Capteur d'entrée 4/20 mA</w:t>
            </w:r>
          </w:p>
        </w:tc>
        <w:tc>
          <w:tcPr>
            <w:tcW w:type="dxa" w:w="3784"/>
          </w:tcPr>
          <w:p>
            <w:pPr>
              <w:spacing w:before="20" w:after="20"/>
            </w:pPr>
            <w:r/>
            <w:r>
              <w:rPr>
                <w:rFonts w:ascii="Verdana" w:hAnsi="Verdana"/>
                <w:b w:val="0"/>
                <w:sz w:val="16"/>
              </w:rPr>
              <w:t>N° 2</w:t>
            </w:r>
          </w:p>
        </w:tc>
        <w:tc>
          <w:tcPr>
            <w:tcW w:type="dxa" w:w="3784"/>
          </w:tcPr>
          <w:p>
            <w:pPr>
              <w:spacing w:before="20" w:after="20"/>
            </w:pPr>
            <w:r/>
            <w:r>
              <w:rPr>
                <w:rFonts w:ascii="Verdana" w:hAnsi="Verdana"/>
                <w:b w:val="0"/>
                <w:sz w:val="16"/>
              </w:rPr>
            </w:r>
          </w:p>
        </w:tc>
      </w:tr>
    </w:tbl>
    <w:p/>
    <w:p>
      <w:r>
        <w:rPr>
          <w:rFonts w:ascii="Verdana" w:hAnsi="Verdana"/>
          <w:b/>
          <w:sz w:val="18"/>
        </w:rPr>
        <w:t>3 05 011 (Messages d'observation MEDHYCOS de type 2)</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3 01 029</w:t>
            </w:r>
          </w:p>
        </w:tc>
        <w:tc>
          <w:tcPr>
            <w:tcW w:type="dxa" w:w="3784"/>
          </w:tcPr>
          <w:p>
            <w:pPr>
              <w:spacing w:before="20" w:after="20"/>
            </w:pPr>
            <w:r/>
            <w:r>
              <w:rPr>
                <w:rFonts w:ascii="Verdana" w:hAnsi="Verdana"/>
                <w:b w:val="0"/>
                <w:sz w:val="16"/>
              </w:rPr>
              <w:t>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Moment de la première mesure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0 04 065</w:t>
            </w:r>
          </w:p>
        </w:tc>
        <w:tc>
          <w:tcPr>
            <w:tcW w:type="dxa" w:w="3784"/>
          </w:tcPr>
          <w:p>
            <w:pPr>
              <w:spacing w:before="20" w:after="20"/>
            </w:pPr>
            <w:r/>
            <w:r>
              <w:rPr>
                <w:rFonts w:ascii="Verdana" w:hAnsi="Verdana"/>
                <w:b w:val="0"/>
                <w:sz w:val="16"/>
              </w:rPr>
              <w:t>Incrément de courte durée</w:t>
            </w:r>
          </w:p>
        </w:tc>
        <w:tc>
          <w:tcPr>
            <w:tcW w:type="dxa" w:w="3784"/>
          </w:tcPr>
          <w:p>
            <w:pPr>
              <w:spacing w:before="20" w:after="20"/>
            </w:pPr>
            <w:r/>
            <w:r>
              <w:rPr>
                <w:rFonts w:ascii="Verdana" w:hAnsi="Verdana"/>
                <w:b w:val="0"/>
                <w:sz w:val="16"/>
              </w:rPr>
              <w:t>Intervalle de temps entre les mesures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3 05 010</w:t>
            </w:r>
          </w:p>
        </w:tc>
        <w:tc>
          <w:tcPr>
            <w:tcW w:type="dxa" w:w="3784"/>
          </w:tcPr>
          <w:p>
            <w:pPr>
              <w:spacing w:before="20" w:after="20"/>
            </w:pPr>
            <w:r/>
            <w:r>
              <w:rPr>
                <w:rFonts w:ascii="Verdana" w:hAnsi="Verdana"/>
                <w:b w:val="0"/>
                <w:sz w:val="16"/>
              </w:rPr>
              <w:t>Mesure MEDHYCOS de type 2</w:t>
            </w:r>
          </w:p>
        </w:tc>
        <w:tc>
          <w:tcPr>
            <w:tcW w:type="dxa" w:w="3784"/>
          </w:tcPr>
          <w:p>
            <w:pPr>
              <w:spacing w:before="20" w:after="20"/>
            </w:pPr>
            <w:r/>
            <w:r>
              <w:rPr>
                <w:rFonts w:ascii="Verdana" w:hAnsi="Verdana"/>
                <w:b w:val="0"/>
                <w:sz w:val="16"/>
              </w:rPr>
              <w:t>Mesure unique</w:t>
            </w:r>
          </w:p>
        </w:tc>
        <w:tc>
          <w:tcPr>
            <w:tcW w:type="dxa" w:w="3784"/>
          </w:tcPr>
          <w:p>
            <w:pPr>
              <w:spacing w:before="20" w:after="20"/>
            </w:pPr>
            <w:r/>
            <w:r>
              <w:rPr>
                <w:rFonts w:ascii="Verdana" w:hAnsi="Verdana"/>
                <w:b w:val="0"/>
                <w:sz w:val="16"/>
              </w:rPr>
            </w:r>
          </w:p>
        </w:tc>
      </w:tr>
    </w:tbl>
    <w:p/>
    <w:p>
      <w:r>
        <w:rPr>
          <w:rFonts w:ascii="Verdana" w:hAnsi="Verdana"/>
          <w:b/>
          <w:sz w:val="18"/>
        </w:rPr>
        <w:t>3 05 016 (Paramètres météorologiques associés à des données hydrologiques)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0 14 021</w:t>
            </w:r>
          </w:p>
        </w:tc>
        <w:tc>
          <w:tcPr>
            <w:tcW w:type="dxa" w:w="3784"/>
          </w:tcPr>
          <w:p>
            <w:pPr>
              <w:spacing w:before="20" w:after="20"/>
            </w:pPr>
            <w:r/>
            <w:r>
              <w:rPr>
                <w:rFonts w:ascii="Verdana" w:hAnsi="Verdana"/>
                <w:b w:val="0"/>
                <w:sz w:val="16"/>
              </w:rPr>
              <w:t>Rayonnement solaire global, intégré sur une période déterminée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Pression atmosphérique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0 11 043</w:t>
            </w:r>
          </w:p>
        </w:tc>
        <w:tc>
          <w:tcPr>
            <w:tcW w:type="dxa" w:w="3784"/>
          </w:tcPr>
          <w:p>
            <w:pPr>
              <w:spacing w:before="20" w:after="20"/>
            </w:pPr>
            <w:r/>
            <w:r>
              <w:rPr>
                <w:rFonts w:ascii="Verdana" w:hAnsi="Verdana"/>
                <w:b w:val="0"/>
                <w:sz w:val="16"/>
              </w:rPr>
              <w:t>Direction de la rafale maximale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05 017 (Mesure de la qualité de l'eau)</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0 13 080</w:t>
            </w:r>
          </w:p>
        </w:tc>
        <w:tc>
          <w:tcPr>
            <w:tcW w:type="dxa" w:w="3784"/>
          </w:tcPr>
          <w:p>
            <w:pPr>
              <w:spacing w:before="20" w:after="20"/>
            </w:pPr>
            <w:r/>
            <w:r>
              <w:rPr>
                <w:rFonts w:ascii="Verdana" w:hAnsi="Verdana"/>
                <w:b w:val="0"/>
                <w:sz w:val="16"/>
              </w:rPr>
              <w:t>pH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0 13 081</w:t>
            </w:r>
          </w:p>
        </w:tc>
        <w:tc>
          <w:tcPr>
            <w:tcW w:type="dxa" w:w="3784"/>
          </w:tcPr>
          <w:p>
            <w:pPr>
              <w:spacing w:before="20" w:after="20"/>
            </w:pPr>
            <w:r/>
            <w:r>
              <w:rPr>
                <w:rFonts w:ascii="Verdana" w:hAnsi="Verdana"/>
                <w:b w:val="0"/>
                <w:sz w:val="16"/>
              </w:rPr>
              <w:t>Conductivité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0 13 083</w:t>
            </w:r>
          </w:p>
        </w:tc>
        <w:tc>
          <w:tcPr>
            <w:tcW w:type="dxa" w:w="3784"/>
          </w:tcPr>
          <w:p>
            <w:pPr>
              <w:spacing w:before="20" w:after="20"/>
            </w:pPr>
            <w:r/>
            <w:r>
              <w:rPr>
                <w:rFonts w:ascii="Verdana" w:hAnsi="Verdana"/>
                <w:b w:val="0"/>
                <w:sz w:val="16"/>
              </w:rPr>
              <w:t>Oxygène dissous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0 13 085</w:t>
            </w:r>
          </w:p>
        </w:tc>
        <w:tc>
          <w:tcPr>
            <w:tcW w:type="dxa" w:w="3784"/>
          </w:tcPr>
          <w:p>
            <w:pPr>
              <w:spacing w:before="20" w:after="20"/>
            </w:pPr>
            <w:r/>
            <w:r>
              <w:rPr>
                <w:rFonts w:ascii="Verdana" w:hAnsi="Verdana"/>
                <w:b w:val="0"/>
                <w:sz w:val="16"/>
              </w:rPr>
              <w:t>Potentiel de réduction d'oxydation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0 13 084</w:t>
            </w:r>
          </w:p>
        </w:tc>
        <w:tc>
          <w:tcPr>
            <w:tcW w:type="dxa" w:w="3784"/>
          </w:tcPr>
          <w:p>
            <w:pPr>
              <w:spacing w:before="20" w:after="20"/>
            </w:pPr>
            <w:r/>
            <w:r>
              <w:rPr>
                <w:rFonts w:ascii="Verdana" w:hAnsi="Verdana"/>
                <w:b w:val="0"/>
                <w:sz w:val="16"/>
              </w:rPr>
              <w:t>Turbidité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05 018 (Message d'observation MEDHYCOS avec données météorologiques et données sur la qualité de l'eau)</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3 01 029</w:t>
            </w:r>
          </w:p>
        </w:tc>
        <w:tc>
          <w:tcPr>
            <w:tcW w:type="dxa" w:w="3784"/>
          </w:tcPr>
          <w:p>
            <w:pPr>
              <w:spacing w:before="20" w:after="20"/>
            </w:pPr>
            <w:r/>
            <w:r>
              <w:rPr>
                <w:rFonts w:ascii="Verdana" w:hAnsi="Verdana"/>
                <w:b w:val="0"/>
                <w:sz w:val="16"/>
              </w:rPr>
              <w:t>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Moment de la première mesure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0 04 065</w:t>
            </w:r>
          </w:p>
        </w:tc>
        <w:tc>
          <w:tcPr>
            <w:tcW w:type="dxa" w:w="3784"/>
          </w:tcPr>
          <w:p>
            <w:pPr>
              <w:spacing w:before="20" w:after="20"/>
            </w:pPr>
            <w:r/>
            <w:r>
              <w:rPr>
                <w:rFonts w:ascii="Verdana" w:hAnsi="Verdana"/>
                <w:b w:val="0"/>
                <w:sz w:val="16"/>
              </w:rPr>
              <w:t>Incrément de courte durée</w:t>
            </w:r>
          </w:p>
        </w:tc>
        <w:tc>
          <w:tcPr>
            <w:tcW w:type="dxa" w:w="3784"/>
          </w:tcPr>
          <w:p>
            <w:pPr>
              <w:spacing w:before="20" w:after="20"/>
            </w:pPr>
            <w:r/>
            <w:r>
              <w:rPr>
                <w:rFonts w:ascii="Verdana" w:hAnsi="Verdana"/>
                <w:b w:val="0"/>
                <w:sz w:val="16"/>
              </w:rPr>
              <w:t>Incrément temporel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Répétition différée de 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3 05 008</w:t>
            </w:r>
          </w:p>
        </w:tc>
        <w:tc>
          <w:tcPr>
            <w:tcW w:type="dxa" w:w="3784"/>
          </w:tcPr>
          <w:p>
            <w:pPr>
              <w:spacing w:before="20" w:after="20"/>
            </w:pPr>
            <w:r/>
            <w:r>
              <w:rPr>
                <w:rFonts w:ascii="Verdana" w:hAnsi="Verdana"/>
                <w:b w:val="0"/>
                <w:sz w:val="16"/>
              </w:rPr>
              <w:t>Mesure AOCHYCOS-Tchad</w:t>
            </w:r>
          </w:p>
        </w:tc>
        <w:tc>
          <w:tcPr>
            <w:tcW w:type="dxa" w:w="3784"/>
          </w:tcPr>
          <w:p>
            <w:pPr>
              <w:spacing w:before="20" w:after="20"/>
            </w:pPr>
            <w:r/>
            <w:r>
              <w:rPr>
                <w:rFonts w:ascii="Verdana" w:hAnsi="Verdana"/>
                <w:b w:val="0"/>
                <w:sz w:val="16"/>
              </w:rPr>
              <w:t>Identique à la mesure de type AOCHYCOS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3 05 016</w:t>
            </w:r>
          </w:p>
        </w:tc>
        <w:tc>
          <w:tcPr>
            <w:tcW w:type="dxa" w:w="3784"/>
          </w:tcPr>
          <w:p>
            <w:pPr>
              <w:spacing w:before="20" w:after="20"/>
            </w:pPr>
            <w:r/>
            <w:r>
              <w:rPr>
                <w:rFonts w:ascii="Verdana" w:hAnsi="Verdana"/>
                <w:b w:val="0"/>
                <w:sz w:val="16"/>
              </w:rPr>
              <w:t>Paramètres météorologiques associés à des données hydrologiques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3 05 017</w:t>
            </w:r>
          </w:p>
        </w:tc>
        <w:tc>
          <w:tcPr>
            <w:tcW w:type="dxa" w:w="3784"/>
          </w:tcPr>
          <w:p>
            <w:pPr>
              <w:spacing w:before="20" w:after="20"/>
            </w:pPr>
            <w:r/>
            <w:r>
              <w:rPr>
                <w:rFonts w:ascii="Verdana" w:hAnsi="Verdana"/>
                <w:b w:val="0"/>
                <w:sz w:val="16"/>
              </w:rPr>
              <w:t>Mesure de la qualité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4: D’autres descripteurs sont requis pour réduire la charge de travail relative à la base de données de la station, par exemple pour l’identification de l’État fédéral et de l’axe routier.</w:t>
      </w:r>
    </w:p>
    <w:p>
      <w:r>
        <w:rPr>
          <w:rFonts w:ascii="Verdana" w:hAnsi="Verdana"/>
          <w:i/>
          <w:sz w:val="14"/>
        </w:rPr>
        <w:t>Note 7: Des messages BUFR composés peuvent être décrits à l’intérieur de la Section de description des don- nées, le cas échéant (par exemple 3 01 041, 3 04 001, 3 04 002, 3 04 003, 3 04 004, 3 04 005, 3 04 006).</w:t>
      </w:r>
    </w:p>
    <w:p>
      <w:r>
        <w:rPr>
          <w:rFonts w:ascii="Verdana" w:hAnsi="Verdana"/>
          <w:i/>
          <w:sz w:val="14"/>
        </w:rPr>
        <w:t>Note 10: Le décibel (dB) est une mesure logarithmique de la puissance relative ou des valeurs relatives de deux densités de flux, en particulier d’intensités sonores et de densités de puissance radio et radar. En météorologie radar, l’échelle logarithmique (dBZ) est utilisée pour mesurer la réflectivité radar (d’après le glossaire de météorologie de l’ American Meteorological Society ).</w:t>
      </w:r>
    </w:p>
    <w:p>
      <w:r>
        <w:rPr>
          <w:rFonts w:ascii="Verdana" w:hAnsi="Verdana"/>
          <w:i/>
          <w:sz w:val="14"/>
        </w:rPr>
        <w:t>Note 15: Les descripteurs 3 03 021 à 3 03 027 ne sont pas disponibles dans le CREX.</w:t>
      </w:r>
    </w:p>
    <w:p>
      <w:r>
        <w:rPr>
          <w:rFonts w:ascii="Verdana" w:hAnsi="Verdana"/>
          <w:i/>
          <w:sz w:val="14"/>
        </w:rPr>
        <w:t>Note 16: Chaque message BUFR peut contenir des données pour un certain nombre de positions; la technique de compression des messages BUFR n’implique que des ajouts négligeables pour des éléments de données constants.</w:t>
      </w:r>
    </w:p>
    <w:p>
      <w:r>
        <w:rPr>
          <w:rFonts w:ascii="Verdana" w:hAnsi="Verdana"/>
          <w:i/>
          <w:sz w:val="14"/>
        </w:rPr>
        <w:t>Note 32: On pourrait penser qu’étant donné que l’on ne peut procéder qu’à des adjonctions il ne faut utiliser que des lignes complètes; toutefois on peut concevoir que, pour certaines zones précises, il faudra des modifi- cations aussi bien que des adjonctions; il vaut donc mieux donner des descriptions pour tous les champs, notamment dans un souci de clarté.</w:t>
      </w:r>
    </w:p>
    <w:p>
      <w:r>
        <w:rPr>
          <w:rFonts w:ascii="Verdana" w:hAnsi="Verdana"/>
          <w:i/>
          <w:sz w:val="14"/>
        </w:rPr>
        <w:t>Note 34: Le décalage en latitude 0 05 015 est établi par rapport à la latitude du site du lâcher. Le décalage en longitude 0 06 015 est établi par rapport à la longitude du site du lâcher.</w:t>
      </w:r>
    </w:p>
    <w:p>
      <w:r>
        <w:rPr>
          <w:rFonts w:ascii="Verdana" w:hAnsi="Verdana"/>
          <w:i/>
          <w:sz w:val="14"/>
        </w:rPr>
        <w:t>Note 35: Le décalage dans le temps de longue durée 0 04 086 est établi par rapport à l’heure du lâcher 3 01 013 (en secondes).</w:t>
      </w:r>
    </w:p>
    <w:p>
      <w:r>
        <w:rPr>
          <w:rFonts w:ascii="Verdana" w:hAnsi="Verdana"/>
          <w:i/>
          <w:sz w:val="14"/>
        </w:rPr>
        <w:t>Note 43: Le fait de séparer les données satellitaires correspondant à un seul niveau en séries de messages BUFR facilite la compression et permet une transmission et un stockage efficaces des données.</w:t>
      </w:r>
    </w:p>
    <w:p>
      <w:r>
        <w:rPr>
          <w:rFonts w:ascii="Verdana" w:hAnsi="Verdana"/>
          <w:i/>
          <w:sz w:val="14"/>
        </w:rPr>
        <w:t>Note 49: La majorité des stations ne disposent que d’une seule position sur la route et d’un seul capteur de température sous la surface. Des répétitions différées ont été introduites pour accroître la flexibilité et l’efficacité en termes de volume.</w:t>
      </w:r>
    </w:p>
    <w:p>
      <w:r>
        <w:rPr>
          <w:rFonts w:ascii="Verdana" w:hAnsi="Verdana"/>
          <w:i/>
          <w:sz w:val="14"/>
        </w:rPr>
        <w:t>Note 62: Les descripteurs 3 01 041 à 3 01 049 et 3 01 062, 3 01 071, et 3 01 072 ne devraient pas être utilisés pour la transmission dans le CREX.</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