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11 : Séquences correspondant à des messages d'observation à un seul niveau (données classiques)</w:t>
      </w:r>
    </w:p>
    <w:p>
      <w:r>
        <w:rPr>
          <w:rFonts w:ascii="Verdana" w:hAnsi="Verdana"/>
          <w:b/>
          <w:sz w:val="18"/>
        </w:rPr>
        <w:t>3 11 001 (Comptes rendus d'aéronef)</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3 01 051</w:t>
            </w:r>
          </w:p>
        </w:tc>
        <w:tc>
          <w:tcPr>
            <w:tcW w:type="dxa" w:w="3784"/>
          </w:tcPr>
          <w:p>
            <w:pPr>
              <w:spacing w:before="20" w:after="20"/>
            </w:pPr>
            <w:r/>
            <w:r>
              <w:rPr>
                <w:rFonts w:ascii="Verdana" w:hAnsi="Verdana"/>
                <w:b w:val="0"/>
                <w:sz w:val="16"/>
              </w:rPr>
              <w:t>Numéro de vol, système de navigation, date/heure, position, phase de vol</w:t>
            </w:r>
          </w:p>
        </w:tc>
        <w:tc>
          <w:tcPr>
            <w:tcW w:type="dxa" w:w="3784"/>
          </w:tcPr>
          <w:p>
            <w:pPr>
              <w:spacing w:before="20" w:after="20"/>
            </w:pPr>
            <w:r/>
            <w:r>
              <w:rPr>
                <w:rFonts w:ascii="Verdana" w:hAnsi="Verdana"/>
                <w:b w:val="0"/>
                <w:sz w:val="16"/>
              </w:rPr>
              <w:t>ASDAR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Degré de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0 11 032</w:t>
            </w:r>
          </w:p>
        </w:tc>
        <w:tc>
          <w:tcPr>
            <w:tcW w:type="dxa" w:w="3784"/>
          </w:tcPr>
          <w:p>
            <w:pPr>
              <w:spacing w:before="20" w:after="20"/>
            </w:pPr>
            <w:r/>
            <w:r>
              <w:rPr>
                <w:rFonts w:ascii="Verdana" w:hAnsi="Verdana"/>
                <w:b w:val="0"/>
                <w:sz w:val="16"/>
              </w:rPr>
              <w:t>Hauteur de la base de la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0 11 033</w:t>
            </w:r>
          </w:p>
        </w:tc>
        <w:tc>
          <w:tcPr>
            <w:tcW w:type="dxa" w:w="3784"/>
          </w:tcPr>
          <w:p>
            <w:pPr>
              <w:spacing w:before="20" w:after="20"/>
            </w:pPr>
            <w:r/>
            <w:r>
              <w:rPr>
                <w:rFonts w:ascii="Verdana" w:hAnsi="Verdana"/>
                <w:b w:val="0"/>
                <w:sz w:val="16"/>
              </w:rPr>
              <w:t>Hauteur du sommet de la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Givrage d'aéronef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11 002 (Messages ACARS)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3 01 065</w:t>
            </w:r>
          </w:p>
        </w:tc>
        <w:tc>
          <w:tcPr>
            <w:tcW w:type="dxa" w:w="3784"/>
          </w:tcPr>
          <w:p>
            <w:pPr>
              <w:spacing w:before="20" w:after="20"/>
            </w:pPr>
            <w:r/>
            <w:r>
              <w:rPr>
                <w:rFonts w:ascii="Verdana" w:hAnsi="Verdana"/>
                <w:b w:val="0"/>
                <w:sz w:val="16"/>
              </w:rPr>
              <w:t>Identification du message ACARS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3 01 066</w:t>
            </w:r>
          </w:p>
        </w:tc>
        <w:tc>
          <w:tcPr>
            <w:tcW w:type="dxa" w:w="3784"/>
          </w:tcPr>
          <w:p>
            <w:pPr>
              <w:spacing w:before="20" w:after="20"/>
            </w:pPr>
            <w:r/>
            <w:r>
              <w:rPr>
                <w:rFonts w:ascii="Verdana" w:hAnsi="Verdana"/>
                <w:b w:val="0"/>
                <w:sz w:val="16"/>
              </w:rPr>
              <w:t>Position concernant les messages ACARS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3 11 003</w:t>
            </w:r>
          </w:p>
        </w:tc>
        <w:tc>
          <w:tcPr>
            <w:tcW w:type="dxa" w:w="3784"/>
          </w:tcPr>
          <w:p>
            <w:pPr>
              <w:spacing w:before="20" w:after="20"/>
            </w:pPr>
            <w:r/>
            <w:r>
              <w:rPr>
                <w:rFonts w:ascii="Verdana" w:hAnsi="Verdana"/>
                <w:b w:val="0"/>
                <w:sz w:val="16"/>
              </w:rPr>
              <w:t>Variables ACARS standard transmises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3 11 004</w:t>
            </w:r>
          </w:p>
        </w:tc>
        <w:tc>
          <w:tcPr>
            <w:tcW w:type="dxa" w:w="3784"/>
          </w:tcPr>
          <w:p>
            <w:pPr>
              <w:spacing w:before="20" w:after="20"/>
            </w:pPr>
            <w:r/>
            <w:r>
              <w:rPr>
                <w:rFonts w:ascii="Verdana" w:hAnsi="Verdana"/>
                <w:b w:val="0"/>
                <w:sz w:val="16"/>
              </w:rPr>
              <w:t>Variables ACARS supplémentaires transmises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11 003 (Variables ACARS standard transmises)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0 10 070</w:t>
            </w:r>
          </w:p>
        </w:tc>
        <w:tc>
          <w:tcPr>
            <w:tcW w:type="dxa" w:w="3784"/>
          </w:tcPr>
          <w:p>
            <w:pPr>
              <w:spacing w:before="20" w:after="20"/>
            </w:pPr>
            <w:r/>
            <w:r>
              <w:rPr>
                <w:rFonts w:ascii="Verdana" w:hAnsi="Verdana"/>
                <w:b w:val="0"/>
                <w:sz w:val="16"/>
              </w:rPr>
              <w:t>Altitude de l'aéronef indiquée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Rapport de mélange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11 004 (Variables ACARS supplémentaires transmises)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0 11 034</w:t>
            </w:r>
          </w:p>
        </w:tc>
        <w:tc>
          <w:tcPr>
            <w:tcW w:type="dxa" w:w="3784"/>
          </w:tcPr>
          <w:p>
            <w:pPr>
              <w:spacing w:before="20" w:after="20"/>
            </w:pPr>
            <w:r/>
            <w:r>
              <w:rPr>
                <w:rFonts w:ascii="Verdana" w:hAnsi="Verdana"/>
                <w:b w:val="0"/>
                <w:sz w:val="16"/>
              </w:rPr>
              <w:t>Vitesse des rafales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0 11 035</w:t>
            </w:r>
          </w:p>
        </w:tc>
        <w:tc>
          <w:tcPr>
            <w:tcW w:type="dxa" w:w="3784"/>
          </w:tcPr>
          <w:p>
            <w:pPr>
              <w:spacing w:before="20" w:after="20"/>
            </w:pPr>
            <w:r/>
            <w:r>
              <w:rPr>
                <w:rFonts w:ascii="Verdana" w:hAnsi="Verdana"/>
                <w:b w:val="0"/>
                <w:sz w:val="16"/>
              </w:rPr>
              <w:t>Accélération des rafales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0 11 075</w:t>
            </w:r>
          </w:p>
        </w:tc>
        <w:tc>
          <w:tcPr>
            <w:tcW w:type="dxa" w:w="3784"/>
          </w:tcPr>
          <w:p>
            <w:pPr>
              <w:spacing w:before="20" w:after="20"/>
            </w:pPr>
            <w:r/>
            <w:r>
              <w:rPr>
                <w:rFonts w:ascii="Verdana" w:hAnsi="Verdana"/>
                <w:b w:val="0"/>
                <w:sz w:val="16"/>
              </w:rPr>
              <w:t>Intensité moyenne de la turbulence (taux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0 11 076</w:t>
            </w:r>
          </w:p>
        </w:tc>
        <w:tc>
          <w:tcPr>
            <w:tcW w:type="dxa" w:w="3784"/>
          </w:tcPr>
          <w:p>
            <w:pPr>
              <w:spacing w:before="20" w:after="20"/>
            </w:pPr>
            <w:r/>
            <w:r>
              <w:rPr>
                <w:rFonts w:ascii="Verdana" w:hAnsi="Verdana"/>
                <w:b w:val="0"/>
                <w:sz w:val="16"/>
              </w:rPr>
              <w:t>Intensité maximale de la turbulence (taux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0 33 025</w:t>
            </w:r>
          </w:p>
        </w:tc>
        <w:tc>
          <w:tcPr>
            <w:tcW w:type="dxa" w:w="3784"/>
          </w:tcPr>
          <w:p>
            <w:pPr>
              <w:spacing w:before="20" w:after="20"/>
            </w:pPr>
            <w:r/>
            <w:r>
              <w:rPr>
                <w:rFonts w:ascii="Verdana" w:hAnsi="Verdana"/>
                <w:b w:val="0"/>
                <w:sz w:val="16"/>
              </w:rPr>
              <w:t>Indicateur de valeurs ACARS interpolées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0 33 026</w:t>
            </w:r>
          </w:p>
        </w:tc>
        <w:tc>
          <w:tcPr>
            <w:tcW w:type="dxa" w:w="3784"/>
          </w:tcPr>
          <w:p>
            <w:pPr>
              <w:spacing w:before="20" w:after="20"/>
            </w:pPr>
            <w:r/>
            <w:r>
              <w:rPr>
                <w:rFonts w:ascii="Verdana" w:hAnsi="Verdana"/>
                <w:b w:val="0"/>
                <w:sz w:val="16"/>
              </w:rPr>
              <w:t>Qualité de la mesure de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11 005 (Messages AMDAR standard)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Numéro d'immatriculation de l'aéronef ou autre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0 08 009</w:t>
            </w:r>
          </w:p>
        </w:tc>
        <w:tc>
          <w:tcPr>
            <w:tcW w:type="dxa" w:w="3784"/>
          </w:tcPr>
          <w:p>
            <w:pPr>
              <w:spacing w:before="20" w:after="20"/>
            </w:pPr>
            <w:r/>
            <w:r>
              <w:rPr>
                <w:rFonts w:ascii="Verdana" w:hAnsi="Verdana"/>
                <w:b w:val="0"/>
                <w:sz w:val="16"/>
              </w:rPr>
              <w:t>Phase de vol détaillée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Degré de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0 11 036</w:t>
            </w:r>
          </w:p>
        </w:tc>
        <w:tc>
          <w:tcPr>
            <w:tcW w:type="dxa" w:w="3784"/>
          </w:tcPr>
          <w:p>
            <w:pPr>
              <w:spacing w:before="20" w:after="20"/>
            </w:pPr>
            <w:r/>
            <w:r>
              <w:rPr>
                <w:rFonts w:ascii="Verdana" w:hAnsi="Verdana"/>
                <w:b w:val="0"/>
                <w:sz w:val="16"/>
              </w:rPr>
              <w:t>Équivalent maximal dérivé de la vitesse des rafales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0 33 025</w:t>
            </w:r>
          </w:p>
        </w:tc>
        <w:tc>
          <w:tcPr>
            <w:tcW w:type="dxa" w:w="3784"/>
          </w:tcPr>
          <w:p>
            <w:pPr>
              <w:spacing w:before="20" w:after="20"/>
            </w:pPr>
            <w:r/>
            <w:r>
              <w:rPr>
                <w:rFonts w:ascii="Verdana" w:hAnsi="Verdana"/>
                <w:b w:val="0"/>
                <w:sz w:val="16"/>
              </w:rPr>
              <w:t>Indicateur de valeurs ACARS interpolées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11 006 (Données AMDAR ou données d'aéronefs pour un niveau sans indication de la latitude et de la longitude)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Qualité de l'angle de roulis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11 007 (Données d'aéronefs pour un niveau avec indication de la latitude et de la longitude)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Qualité de l'angle de roulis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11 008 (Profil des phases ascendante et descendante d'un vol d'aéronef sans indication de la latitude et de la longitude à chaque niveau)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Numéro d'immatriculation de l'aéronef ou autre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3 11 006</w:t>
            </w:r>
          </w:p>
        </w:tc>
        <w:tc>
          <w:tcPr>
            <w:tcW w:type="dxa" w:w="3784"/>
          </w:tcPr>
          <w:p>
            <w:pPr>
              <w:spacing w:before="20" w:after="20"/>
            </w:pPr>
            <w:r/>
            <w:r>
              <w:rPr>
                <w:rFonts w:ascii="Verdana" w:hAnsi="Verdana"/>
                <w:b w:val="0"/>
                <w:sz w:val="16"/>
              </w:rPr>
              <w:t>Données AMDAR ou données d'aéronefs pour un niveau sans indication de la latitude et de la longitude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11 009 (Profil des phases ascendante et descendante d'un vol d'aéronef avec la latitude et la longitude à chaque niveau)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Numéro d'immatriculation de l'aéronef ou autre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3 11 007</w:t>
            </w:r>
          </w:p>
        </w:tc>
        <w:tc>
          <w:tcPr>
            <w:tcW w:type="dxa" w:w="3784"/>
          </w:tcPr>
          <w:p>
            <w:pPr>
              <w:spacing w:before="20" w:after="20"/>
            </w:pPr>
            <w:r/>
            <w:r>
              <w:rPr>
                <w:rFonts w:ascii="Verdana" w:hAnsi="Verdana"/>
                <w:b w:val="0"/>
                <w:sz w:val="16"/>
              </w:rPr>
              <w:t>Données d'aéronefs pour un niveau avec indication de la latitude et de la longitude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11 010 (Modèle BUFR pour les données AMDAR, version 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Numéro d'immatriculation de l'aéronef ou autre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Numéro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0 01 110</w:t>
            </w:r>
          </w:p>
        </w:tc>
        <w:tc>
          <w:tcPr>
            <w:tcW w:type="dxa" w:w="3784"/>
          </w:tcPr>
          <w:p>
            <w:pPr>
              <w:spacing w:before="20" w:after="20"/>
            </w:pPr>
            <w:r/>
            <w:r>
              <w:rPr>
                <w:rFonts w:ascii="Verdana" w:hAnsi="Verdana"/>
                <w:b w:val="0"/>
                <w:sz w:val="16"/>
              </w:rPr>
              <w:t>Immatriculation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0 01 111</w:t>
            </w:r>
          </w:p>
        </w:tc>
        <w:tc>
          <w:tcPr>
            <w:tcW w:type="dxa" w:w="3784"/>
          </w:tcPr>
          <w:p>
            <w:pPr>
              <w:spacing w:before="20" w:after="20"/>
            </w:pPr>
            <w:r/>
            <w:r>
              <w:rPr>
                <w:rFonts w:ascii="Verdana" w:hAnsi="Verdana"/>
                <w:b w:val="0"/>
                <w:sz w:val="16"/>
              </w:rPr>
              <w:t>Aéroport de départ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0 01 112</w:t>
            </w:r>
          </w:p>
        </w:tc>
        <w:tc>
          <w:tcPr>
            <w:tcW w:type="dxa" w:w="3784"/>
          </w:tcPr>
          <w:p>
            <w:pPr>
              <w:spacing w:before="20" w:after="20"/>
            </w:pPr>
            <w:r/>
            <w:r>
              <w:rPr>
                <w:rFonts w:ascii="Verdana" w:hAnsi="Verdana"/>
                <w:b w:val="0"/>
                <w:sz w:val="16"/>
              </w:rPr>
              <w:t>Aéroport de destination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2 04 002</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2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t>= 8 Renseignements sur la qualité sur 2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Niveau de vol</w:t>
            </w:r>
          </w:p>
        </w:tc>
        <w:tc>
          <w:tcPr>
            <w:tcW w:type="dxa" w:w="3784"/>
          </w:tcPr>
          <w:p>
            <w:pPr>
              <w:spacing w:before="20" w:after="20"/>
            </w:pPr>
            <w:r/>
            <w:r>
              <w:rPr>
                <w:rFonts w:ascii="Verdana" w:hAnsi="Verdana"/>
                <w:b w:val="0"/>
                <w:sz w:val="16"/>
              </w:rPr>
              <w:t>Altitude 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0 10 053</w:t>
            </w:r>
          </w:p>
        </w:tc>
        <w:tc>
          <w:tcPr>
            <w:tcW w:type="dxa" w:w="3784"/>
          </w:tcPr>
          <w:p>
            <w:pPr>
              <w:spacing w:before="20" w:after="20"/>
            </w:pPr>
            <w:r/>
            <w:r>
              <w:rPr>
                <w:rFonts w:ascii="Verdana" w:hAnsi="Verdana"/>
                <w:b w:val="0"/>
                <w:sz w:val="16"/>
              </w:rPr>
              <w:t>Altitude GNSS (Système mondial de navigation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0 08 009</w:t>
            </w:r>
          </w:p>
        </w:tc>
        <w:tc>
          <w:tcPr>
            <w:tcW w:type="dxa" w:w="3784"/>
          </w:tcPr>
          <w:p>
            <w:pPr>
              <w:spacing w:before="20" w:after="20"/>
            </w:pPr>
            <w:r/>
            <w:r>
              <w:rPr>
                <w:rFonts w:ascii="Verdana" w:hAnsi="Verdana"/>
                <w:b w:val="0"/>
                <w:sz w:val="16"/>
              </w:rPr>
              <w:t>Phase de vol détaillée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Qualité de l'angle de roulis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0 11 100</w:t>
            </w:r>
          </w:p>
        </w:tc>
        <w:tc>
          <w:tcPr>
            <w:tcW w:type="dxa" w:w="3784"/>
          </w:tcPr>
          <w:p>
            <w:pPr>
              <w:spacing w:before="20" w:after="20"/>
            </w:pPr>
            <w:r/>
            <w:r>
              <w:rPr>
                <w:rFonts w:ascii="Verdana" w:hAnsi="Verdana"/>
                <w:b w:val="0"/>
                <w:sz w:val="16"/>
              </w:rPr>
              <w:t>Vitesse vraie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0 11 101</w:t>
            </w:r>
          </w:p>
        </w:tc>
        <w:tc>
          <w:tcPr>
            <w:tcW w:type="dxa" w:w="3784"/>
          </w:tcPr>
          <w:p>
            <w:pPr>
              <w:spacing w:before="20" w:after="20"/>
            </w:pPr>
            <w:r/>
            <w:r>
              <w:rPr>
                <w:rFonts w:ascii="Verdana" w:hAnsi="Verdana"/>
                <w:b w:val="0"/>
                <w:sz w:val="16"/>
              </w:rPr>
              <w:t>Vitesse sol de l'aéronef (composante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sol de l'aéronef (composante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sol de l'aéronef (composante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Cap vrai de l'aéronef, du navire ou de la plate-forme mobile</w:t>
            </w:r>
          </w:p>
        </w:tc>
        <w:tc>
          <w:tcPr>
            <w:tcW w:type="dxa" w:w="3784"/>
          </w:tcPr>
          <w:p>
            <w:pPr>
              <w:spacing w:before="20" w:after="20"/>
            </w:pPr>
            <w:r/>
            <w:r>
              <w:rPr>
                <w:rFonts w:ascii="Verdana" w:hAnsi="Verdana"/>
                <w:b w:val="0"/>
                <w:sz w:val="16"/>
              </w:rPr>
              <w:t>Cap vrai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Capteurs d'humidité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Rapport de mélange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Qualité de la mesure de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Givrage de la cellule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Teneur maximale en eau à l'état liquide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Teneur moyenne en eau à l'état liquide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Grosses gouttes d'eau surfondues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Indicateur de valeurs ACARS interpolées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Intensité moyenne de la turbulence (taux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Intensité maximale de la turbulence (taux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Étalement dans le temps de l'apparition du taux maximal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Indice de turbulence</w:t>
            </w:r>
          </w:p>
        </w:tc>
        <w:tc>
          <w:tcPr>
            <w:tcW w:type="dxa" w:w="3784"/>
          </w:tcPr>
          <w:p>
            <w:pPr>
              <w:spacing w:before="20" w:after="20"/>
            </w:pPr>
            <w:r/>
            <w:r>
              <w:rPr>
                <w:rFonts w:ascii="Verdana" w:hAnsi="Verdana"/>
                <w:b w:val="0"/>
                <w:sz w:val="16"/>
              </w:rPr>
              <w:t>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Intervalle d'enregistrement ou temps moyen pour établir le 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des rafales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Accélération des rafales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Équivalent maximal dérivé de la vitesse des rafales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19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Version de l'algorithme du 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7 bits de long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t>= 7 Degré de confiance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Intensité maximale de la turbulence (taux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Intensité moyenne de la turbulence (taux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Niveau de confiance minimum associé au fonctionnement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Nombre maximum d'entrées fausses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Localisation de la valeur de crête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Nombre de valeurs justes du taux de dissipation des tourbillons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11 011 (Modèle IAGOS pour une seule observation), version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20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0 15 026</w:t>
            </w:r>
          </w:p>
        </w:tc>
        <w:tc>
          <w:tcPr>
            <w:tcW w:type="dxa" w:w="3784"/>
          </w:tcPr>
          <w:p>
            <w:pPr>
              <w:spacing w:before="20" w:after="20"/>
            </w:pPr>
            <w:r/>
            <w:r>
              <w:rPr>
                <w:rFonts w:ascii="Verdana" w:hAnsi="Verdana"/>
                <w:b w:val="0"/>
                <w:sz w:val="16"/>
              </w:rPr>
              <w:t>Concentration du polluant (mol mol-1)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Type de constituants chimiques ou physiques de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19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11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0 15 026</w:t>
            </w:r>
          </w:p>
        </w:tc>
        <w:tc>
          <w:tcPr>
            <w:tcW w:type="dxa" w:w="3784"/>
          </w:tcPr>
          <w:p>
            <w:pPr>
              <w:spacing w:before="20" w:after="20"/>
            </w:pPr>
            <w:r/>
            <w:r>
              <w:rPr>
                <w:rFonts w:ascii="Verdana" w:hAnsi="Verdana"/>
                <w:b w:val="0"/>
                <w:sz w:val="16"/>
              </w:rPr>
              <w:t>Concentration du polluant (mol mol-1)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0 15 052</w:t>
            </w:r>
          </w:p>
        </w:tc>
        <w:tc>
          <w:tcPr>
            <w:tcW w:type="dxa" w:w="3784"/>
          </w:tcPr>
          <w:p>
            <w:pPr>
              <w:spacing w:before="20" w:after="20"/>
            </w:pPr>
            <w:r/>
            <w:r>
              <w:rPr>
                <w:rFonts w:ascii="Verdana" w:hAnsi="Verdana"/>
                <w:b w:val="0"/>
                <w:sz w:val="16"/>
              </w:rPr>
              <w:t>Log10 de la concentration en nombre de particules d'aérosols de diamètre supérieur à 5 nm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0 15 053</w:t>
            </w:r>
          </w:p>
        </w:tc>
        <w:tc>
          <w:tcPr>
            <w:tcW w:type="dxa" w:w="3784"/>
          </w:tcPr>
          <w:p>
            <w:pPr>
              <w:spacing w:before="20" w:after="20"/>
            </w:pPr>
            <w:r/>
            <w:r>
              <w:rPr>
                <w:rFonts w:ascii="Verdana" w:hAnsi="Verdana"/>
                <w:b w:val="0"/>
                <w:sz w:val="16"/>
              </w:rPr>
              <w:t>Log10 de la concentration en nombre de particules d'aérosols de diamètre supérieur à 14 nm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0 15 054</w:t>
            </w:r>
          </w:p>
        </w:tc>
        <w:tc>
          <w:tcPr>
            <w:tcW w:type="dxa" w:w="3784"/>
          </w:tcPr>
          <w:p>
            <w:pPr>
              <w:spacing w:before="20" w:after="20"/>
            </w:pPr>
            <w:r/>
            <w:r>
              <w:rPr>
                <w:rFonts w:ascii="Verdana" w:hAnsi="Verdana"/>
                <w:b w:val="0"/>
                <w:sz w:val="16"/>
              </w:rPr>
              <w:t>Log10 de la concentration en nombre de particules d'aérosols de diamètre compris entre 0,25 et 2,5 µm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0 15 055</w:t>
            </w:r>
          </w:p>
        </w:tc>
        <w:tc>
          <w:tcPr>
            <w:tcW w:type="dxa" w:w="3784"/>
          </w:tcPr>
          <w:p>
            <w:pPr>
              <w:spacing w:before="20" w:after="20"/>
            </w:pPr>
            <w:r/>
            <w:r>
              <w:rPr>
                <w:rFonts w:ascii="Verdana" w:hAnsi="Verdana"/>
                <w:b w:val="0"/>
                <w:sz w:val="16"/>
              </w:rPr>
              <w:t>Proportion d'aérosols non volatils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0 13 099</w:t>
            </w:r>
          </w:p>
        </w:tc>
        <w:tc>
          <w:tcPr>
            <w:tcW w:type="dxa" w:w="3784"/>
          </w:tcPr>
          <w:p>
            <w:pPr>
              <w:spacing w:before="20" w:after="20"/>
            </w:pPr>
            <w:r/>
            <w:r>
              <w:rPr>
                <w:rFonts w:ascii="Verdana" w:hAnsi="Verdana"/>
                <w:b w:val="0"/>
                <w:sz w:val="16"/>
              </w:rPr>
              <w:t>Log10 de la concentration intégrée de particules dans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0 13 100</w:t>
            </w:r>
          </w:p>
        </w:tc>
        <w:tc>
          <w:tcPr>
            <w:tcW w:type="dxa" w:w="3784"/>
          </w:tcPr>
          <w:p>
            <w:pPr>
              <w:spacing w:before="20" w:after="20"/>
            </w:pPr>
            <w:r/>
            <w:r>
              <w:rPr>
                <w:rFonts w:ascii="Verdana" w:hAnsi="Verdana"/>
                <w:b w:val="0"/>
                <w:sz w:val="16"/>
              </w:rPr>
              <w:t>Log10 de la surface intégrée des particules dans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0 13 101</w:t>
            </w:r>
          </w:p>
        </w:tc>
        <w:tc>
          <w:tcPr>
            <w:tcW w:type="dxa" w:w="3784"/>
          </w:tcPr>
          <w:p>
            <w:pPr>
              <w:spacing w:before="20" w:after="20"/>
            </w:pPr>
            <w:r/>
            <w:r>
              <w:rPr>
                <w:rFonts w:ascii="Verdana" w:hAnsi="Verdana"/>
                <w:b w:val="0"/>
                <w:sz w:val="16"/>
              </w:rPr>
              <w:t>Log10 du volume intégré des particules dans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11 012 (Modèle BUFR pour le profil des phases ascendante et descendante d'un vol d'aéronef avec la latitude et la longitude à chaque niveau)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Identifiant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Numéro d'immatriculation de l'aéronef ou autre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0 01 111</w:t>
            </w:r>
          </w:p>
        </w:tc>
        <w:tc>
          <w:tcPr>
            <w:tcW w:type="dxa" w:w="3784"/>
          </w:tcPr>
          <w:p>
            <w:pPr>
              <w:spacing w:before="20" w:after="20"/>
            </w:pPr>
            <w:r/>
            <w:r>
              <w:rPr>
                <w:rFonts w:ascii="Verdana" w:hAnsi="Verdana"/>
                <w:b w:val="0"/>
                <w:sz w:val="16"/>
              </w:rPr>
              <w:t>Aéroport de départ</w:t>
            </w:r>
          </w:p>
        </w:tc>
        <w:tc>
          <w:tcPr>
            <w:tcW w:type="dxa" w:w="3784"/>
          </w:tcPr>
          <w:p>
            <w:pPr>
              <w:spacing w:before="20" w:after="20"/>
            </w:pPr>
            <w:r/>
            <w:r>
              <w:rPr>
                <w:rFonts w:ascii="Verdana" w:hAnsi="Verdana"/>
                <w:b w:val="0"/>
                <w:sz w:val="16"/>
              </w:rPr>
              <w:t>À indiquer en cas de profil de phase ascendante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0 01 112</w:t>
            </w:r>
          </w:p>
        </w:tc>
        <w:tc>
          <w:tcPr>
            <w:tcW w:type="dxa" w:w="3784"/>
          </w:tcPr>
          <w:p>
            <w:pPr>
              <w:spacing w:before="20" w:after="20"/>
            </w:pPr>
            <w:r/>
            <w:r>
              <w:rPr>
                <w:rFonts w:ascii="Verdana" w:hAnsi="Verdana"/>
                <w:b w:val="0"/>
                <w:sz w:val="16"/>
              </w:rPr>
              <w:t>Aéroport de destination</w:t>
            </w:r>
          </w:p>
        </w:tc>
        <w:tc>
          <w:tcPr>
            <w:tcW w:type="dxa" w:w="3784"/>
          </w:tcPr>
          <w:p>
            <w:pPr>
              <w:spacing w:before="20" w:after="20"/>
            </w:pPr>
            <w:r/>
            <w:r>
              <w:rPr>
                <w:rFonts w:ascii="Verdana" w:hAnsi="Verdana"/>
                <w:b w:val="0"/>
                <w:sz w:val="16"/>
              </w:rPr>
              <w:t>À indiquer en cas de profil de phase descendante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Date/heure et position du premier niveau du profil (pour le profil de phase ascendante premier rapport / décollage, pour le profil de phase descendante dernier rapport /atterrissage)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Date/heure et position du premier niveau du profil (pour le profil de phase ascendante premier rapport / décollage, pour le profil de phase descendante dernier rapport /atterrissage)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t>Date/heure et position du premier niveau du profil (pour le profil de phase ascendante premier rapport / décollage, pour le profil de phase descendante dernier rapport /atterrissage)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de vol de l'aéronef</w:t>
            </w:r>
          </w:p>
        </w:tc>
        <w:tc>
          <w:tcPr>
            <w:tcW w:type="dxa" w:w="3784"/>
          </w:tcPr>
          <w:p>
            <w:pPr>
              <w:spacing w:before="20" w:after="20"/>
            </w:pPr>
            <w:r/>
            <w:r>
              <w:rPr>
                <w:rFonts w:ascii="Verdana" w:hAnsi="Verdana"/>
                <w:b w:val="0"/>
                <w:sz w:val="16"/>
              </w:rPr>
              <w:t>Profil de phase ascendante ou descendante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Répétition différée de 10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t>Nombre de niveaux suivants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du message d'observation à un seul niveau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Heure du message d'observation à un seul niveau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3 11 007</w:t>
            </w:r>
          </w:p>
        </w:tc>
        <w:tc>
          <w:tcPr>
            <w:tcW w:type="dxa" w:w="3784"/>
          </w:tcPr>
          <w:p>
            <w:pPr>
              <w:spacing w:before="20" w:after="20"/>
            </w:pPr>
            <w:r/>
            <w:r>
              <w:rPr>
                <w:rFonts w:ascii="Verdana" w:hAnsi="Verdana"/>
                <w:b w:val="0"/>
                <w:sz w:val="16"/>
              </w:rPr>
              <w:t>Données d'aéronefs pour un niveau avec indication de la latitude et de la longitude</w:t>
            </w:r>
          </w:p>
        </w:tc>
        <w:tc>
          <w:tcPr>
            <w:tcW w:type="dxa" w:w="3784"/>
          </w:tcPr>
          <w:p>
            <w:pPr>
              <w:spacing w:before="20" w:after="20"/>
            </w:pPr>
            <w:r/>
            <w:r>
              <w:rPr>
                <w:rFonts w:ascii="Verdana" w:hAnsi="Verdana"/>
                <w:b w:val="0"/>
                <w:sz w:val="16"/>
              </w:rPr>
              <w:t xml:space="preserve">Niveau de vol = altitude pression, point de rosée = valeur déduite du rapport de mélange, limitée à Td ≤ T </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Rapport de mélange</w:t>
            </w:r>
          </w:p>
        </w:tc>
        <w:tc>
          <w:tcPr>
            <w:tcW w:type="dxa" w:w="3784"/>
          </w:tcPr>
          <w:p>
            <w:pPr>
              <w:spacing w:before="20" w:after="20"/>
            </w:pPr>
            <w:r/>
            <w:r>
              <w:rPr>
                <w:rFonts w:ascii="Verdana" w:hAnsi="Verdana"/>
                <w:b w:val="0"/>
                <w:sz w:val="16"/>
              </w:rPr>
              <w:t>Données initiales mesurées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t>Valeur déduite du rapport de mélange, limitée à ≤ 100 %</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0 33 026</w:t>
            </w:r>
          </w:p>
        </w:tc>
        <w:tc>
          <w:tcPr>
            <w:tcW w:type="dxa" w:w="3784"/>
          </w:tcPr>
          <w:p>
            <w:pPr>
              <w:spacing w:before="20" w:after="20"/>
            </w:pPr>
            <w:r/>
            <w:r>
              <w:rPr>
                <w:rFonts w:ascii="Verdana" w:hAnsi="Verdana"/>
                <w:b w:val="0"/>
                <w:sz w:val="16"/>
              </w:rPr>
              <w:t>Qualité de la mesure de l'humidité</w:t>
            </w:r>
          </w:p>
        </w:tc>
        <w:tc>
          <w:tcPr>
            <w:tcW w:type="dxa" w:w="3784"/>
          </w:tcPr>
          <w:p>
            <w:pPr>
              <w:spacing w:before="20" w:after="20"/>
            </w:pPr>
            <w:r/>
            <w:r>
              <w:rPr>
                <w:rFonts w:ascii="Verdana" w:hAnsi="Verdana"/>
                <w:b w:val="0"/>
                <w:sz w:val="16"/>
              </w:rPr>
              <w:t>Table de code (indiquer le chiffre du code 10 si Td &gt; T, voir la table de code)</w:t>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