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12 : Séquences correspondant à des messages d’observation à un seul niveau (données satellitaires)</w:t>
      </w:r>
    </w:p>
    <w:p>
      <w:r>
        <w:rPr>
          <w:rFonts w:ascii="Verdana" w:hAnsi="Verdana"/>
          <w:b/>
          <w:sz w:val="18"/>
        </w:rPr>
        <w:t>3 12 001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3 01 043</w:t>
            </w:r>
          </w:p>
        </w:tc>
        <w:tc>
          <w:tcPr>
            <w:tcW w:type="dxa" w:w="3784"/>
          </w:tcPr>
          <w:p>
            <w:pPr>
              <w:spacing w:before="20" w:after="20"/>
            </w:pPr>
            <w:r/>
            <w:r>
              <w:rPr>
                <w:rFonts w:ascii="Verdana" w:hAnsi="Verdana"/>
                <w:b w:val="0"/>
                <w:sz w:val="16"/>
              </w:rPr>
              <w:t>Indicateur d'identification du satellite, méthode de calcul du vent,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3 04 001</w:t>
            </w:r>
          </w:p>
        </w:tc>
        <w:tc>
          <w:tcPr>
            <w:tcW w:type="dxa" w:w="3784"/>
          </w:tcPr>
          <w:p>
            <w:pPr>
              <w:spacing w:before="20" w:after="20"/>
            </w:pPr>
            <w:r/>
            <w:r>
              <w:rPr>
                <w:rFonts w:ascii="Verdana" w:hAnsi="Verdana"/>
                <w:b w:val="0"/>
                <w:sz w:val="16"/>
              </w:rPr>
              <w:t>Pression au sommet des nuages, température,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3 01 043</w:t>
            </w:r>
          </w:p>
        </w:tc>
        <w:tc>
          <w:tcPr>
            <w:tcW w:type="dxa" w:w="3784"/>
          </w:tcPr>
          <w:p>
            <w:pPr>
              <w:spacing w:before="20" w:after="20"/>
            </w:pPr>
            <w:r/>
            <w:r>
              <w:rPr>
                <w:rFonts w:ascii="Verdana" w:hAnsi="Verdana"/>
                <w:b w:val="0"/>
                <w:sz w:val="16"/>
              </w:rPr>
              <w:t>Indicateur d'identification du satellite, méthode de calcul du vent,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3 04 002</w:t>
            </w:r>
          </w:p>
        </w:tc>
        <w:tc>
          <w:tcPr>
            <w:tcW w:type="dxa" w:w="3784"/>
          </w:tcPr>
          <w:p>
            <w:pPr>
              <w:spacing w:before="20" w:after="20"/>
            </w:pPr>
            <w:r/>
            <w:r>
              <w:rPr>
                <w:rFonts w:ascii="Verdana" w:hAnsi="Verdana"/>
                <w:b w:val="0"/>
                <w:sz w:val="16"/>
              </w:rPr>
              <w:t>Pression au sommet des nuages,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3 04 003</w:t>
            </w:r>
          </w:p>
        </w:tc>
        <w:tc>
          <w:tcPr>
            <w:tcW w:type="dxa" w:w="3784"/>
          </w:tcPr>
          <w:p>
            <w:pPr>
              <w:spacing w:before="20" w:after="20"/>
            </w:pPr>
            <w:r/>
            <w:r>
              <w:rPr>
                <w:rFonts w:ascii="Verdana" w:hAnsi="Verdana"/>
                <w:b w:val="0"/>
                <w:sz w:val="16"/>
              </w:rPr>
              <w:t>Température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3 04 004</w:t>
            </w:r>
          </w:p>
        </w:tc>
        <w:tc>
          <w:tcPr>
            <w:tcW w:type="dxa" w:w="3784"/>
          </w:tcPr>
          <w:p>
            <w:pPr>
              <w:spacing w:before="20" w:after="20"/>
            </w:pPr>
            <w:r/>
            <w:r>
              <w:rPr>
                <w:rFonts w:ascii="Verdana" w:hAnsi="Verdana"/>
                <w:b w:val="0"/>
                <w:sz w:val="16"/>
              </w:rPr>
              <w:t>Pression au sommet des nuages, nébulosité,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3 01 044</w:t>
            </w:r>
          </w:p>
        </w:tc>
        <w:tc>
          <w:tcPr>
            <w:tcW w:type="dxa" w:w="3784"/>
          </w:tcPr>
          <w:p>
            <w:pPr>
              <w:spacing w:before="20" w:after="20"/>
            </w:pPr>
            <w:r/>
            <w:r>
              <w:rPr>
                <w:rFonts w:ascii="Verdana" w:hAnsi="Verdana"/>
                <w:b w:val="0"/>
                <w:sz w:val="16"/>
              </w:rPr>
              <w:t>Indicateur d'identification du satellite, méthode de calcul de l'humidité,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3 04 005</w:t>
            </w:r>
          </w:p>
        </w:tc>
        <w:tc>
          <w:tcPr>
            <w:tcW w:type="dxa" w:w="3784"/>
          </w:tcPr>
          <w:p>
            <w:pPr>
              <w:spacing w:before="20" w:after="20"/>
            </w:pPr>
            <w:r/>
            <w:r>
              <w:rPr>
                <w:rFonts w:ascii="Verdana" w:hAnsi="Verdana"/>
                <w:b w:val="0"/>
                <w:sz w:val="16"/>
              </w:rPr>
              <w:t>Humidité relative moyenne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Indicateur d'identification du satellite, instrument, technique de traitement des données, date/heure,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3 04 006</w:t>
            </w:r>
          </w:p>
        </w:tc>
        <w:tc>
          <w:tcPr>
            <w:tcW w:type="dxa" w:w="3784"/>
          </w:tcPr>
          <w:p>
            <w:pPr>
              <w:spacing w:before="20" w:after="20"/>
            </w:pPr>
            <w:r/>
            <w:r>
              <w:rPr>
                <w:rFonts w:ascii="Verdana" w:hAnsi="Verdana"/>
                <w:b w:val="0"/>
                <w:sz w:val="16"/>
              </w:rPr>
              <w:t>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12 010 (Information sur les orbites, partie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Données instrumentales satellitaires utilisées dans le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Numéro de la ligne de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0 04 043</w:t>
            </w:r>
          </w:p>
        </w:tc>
        <w:tc>
          <w:tcPr>
            <w:tcW w:type="dxa" w:w="3784"/>
          </w:tcPr>
          <w:p>
            <w:pPr>
              <w:spacing w:before="20" w:after="20"/>
            </w:pPr>
            <w:r/>
            <w:r>
              <w:rPr>
                <w:rFonts w:ascii="Verdana" w:hAnsi="Verdana"/>
                <w:b w:val="0"/>
                <w:sz w:val="16"/>
              </w:rPr>
              <w:t>Jour de l'année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12 011 (Information sur les orbites, partie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0 05 053</w:t>
            </w:r>
          </w:p>
        </w:tc>
        <w:tc>
          <w:tcPr>
            <w:tcW w:type="dxa" w:w="3784"/>
          </w:tcPr>
          <w:p>
            <w:pPr>
              <w:spacing w:before="20" w:after="20"/>
            </w:pPr>
            <w:r/>
            <w:r>
              <w:rPr>
                <w:rFonts w:ascii="Verdana" w:hAnsi="Verdana"/>
                <w:b w:val="0"/>
                <w:sz w:val="16"/>
              </w:rPr>
              <w:t>Incrément du 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12 012 (Températures de luminance mesurées par HIRS - canaux 1 à 19)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1 01 019</w:t>
            </w:r>
          </w:p>
        </w:tc>
        <w:tc>
          <w:tcPr>
            <w:tcW w:type="dxa" w:w="3784"/>
          </w:tcPr>
          <w:p>
            <w:pPr>
              <w:spacing w:before="20" w:after="20"/>
            </w:pPr>
            <w:r/>
            <w:r>
              <w:rPr>
                <w:rFonts w:ascii="Verdana" w:hAnsi="Verdana"/>
                <w:b w:val="0"/>
                <w:sz w:val="16"/>
              </w:rPr>
              <w:t>Répéter 1 descripteur 19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12 013 (Températures de luminance mesurées par HIRS - canal 20)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12 014 (Données satellitaires transmises par HIRS)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Information sur les orbites, partie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Information sur les orbites, partie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1 05 056</w:t>
            </w:r>
          </w:p>
        </w:tc>
        <w:tc>
          <w:tcPr>
            <w:tcW w:type="dxa" w:w="3784"/>
          </w:tcPr>
          <w:p>
            <w:pPr>
              <w:spacing w:before="20" w:after="20"/>
            </w:pPr>
            <w:r/>
            <w:r>
              <w:rPr>
                <w:rFonts w:ascii="Verdana" w:hAnsi="Verdana"/>
                <w:b w:val="0"/>
                <w:sz w:val="16"/>
              </w:rPr>
              <w:t>Répéter 5 descripteurs 56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Incrément du 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3 12 012</w:t>
            </w:r>
          </w:p>
        </w:tc>
        <w:tc>
          <w:tcPr>
            <w:tcW w:type="dxa" w:w="3784"/>
          </w:tcPr>
          <w:p>
            <w:pPr>
              <w:spacing w:before="20" w:after="20"/>
            </w:pPr>
            <w:r/>
            <w:r>
              <w:rPr>
                <w:rFonts w:ascii="Verdana" w:hAnsi="Verdana"/>
                <w:b w:val="0"/>
                <w:sz w:val="16"/>
              </w:rPr>
              <w:t>Températures de luminance mesurées par HIRS - canaux 1 à 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3 12 013</w:t>
            </w:r>
          </w:p>
        </w:tc>
        <w:tc>
          <w:tcPr>
            <w:tcW w:type="dxa" w:w="3784"/>
          </w:tcPr>
          <w:p>
            <w:pPr>
              <w:spacing w:before="20" w:after="20"/>
            </w:pPr>
            <w:r/>
            <w:r>
              <w:rPr>
                <w:rFonts w:ascii="Verdana" w:hAnsi="Verdana"/>
                <w:b w:val="0"/>
                <w:sz w:val="16"/>
              </w:rPr>
              <w:t>Températures de luminance mesurées par HIRS - canal 20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12 015 (Températures de luminance mesurées par MSU - canaux 1 à 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1 09 011</w:t>
            </w:r>
          </w:p>
        </w:tc>
        <w:tc>
          <w:tcPr>
            <w:tcW w:type="dxa" w:w="3784"/>
          </w:tcPr>
          <w:p>
            <w:pPr>
              <w:spacing w:before="20" w:after="20"/>
            </w:pPr>
            <w:r/>
            <w:r>
              <w:rPr>
                <w:rFonts w:ascii="Verdana" w:hAnsi="Verdana"/>
                <w:b w:val="0"/>
                <w:sz w:val="16"/>
              </w:rPr>
              <w:t>Répéter 9 descripteurs 11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Incrément du 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12 016 (Données satellitaires transmises par MSU)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Information sur les orbites, partie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Information sur les orbites, partie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3 12 015</w:t>
            </w:r>
          </w:p>
        </w:tc>
        <w:tc>
          <w:tcPr>
            <w:tcW w:type="dxa" w:w="3784"/>
          </w:tcPr>
          <w:p>
            <w:pPr>
              <w:spacing w:before="20" w:after="20"/>
            </w:pPr>
            <w:r/>
            <w:r>
              <w:rPr>
                <w:rFonts w:ascii="Verdana" w:hAnsi="Verdana"/>
                <w:b w:val="0"/>
                <w:sz w:val="16"/>
              </w:rPr>
              <w:t>Températures de luminance mesurées par MSU - canaux 1 à 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12 017 (Températures de luminance mesurées par SSU - canaux 1 à 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1 09 008</w:t>
            </w:r>
          </w:p>
        </w:tc>
        <w:tc>
          <w:tcPr>
            <w:tcW w:type="dxa" w:w="3784"/>
          </w:tcPr>
          <w:p>
            <w:pPr>
              <w:spacing w:before="20" w:after="20"/>
            </w:pPr>
            <w:r/>
            <w:r>
              <w:rPr>
                <w:rFonts w:ascii="Verdana" w:hAnsi="Verdana"/>
                <w:b w:val="0"/>
                <w:sz w:val="16"/>
              </w:rPr>
              <w:t>Répéter 9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Incrément du 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12 018 (Données satellitaires transmises par SSU)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Information sur les orbites, partie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Information sur les orbites, partie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3 12 017</w:t>
            </w:r>
          </w:p>
        </w:tc>
        <w:tc>
          <w:tcPr>
            <w:tcW w:type="dxa" w:w="3784"/>
          </w:tcPr>
          <w:p>
            <w:pPr>
              <w:spacing w:before="20" w:after="20"/>
            </w:pPr>
            <w:r/>
            <w:r>
              <w:rPr>
                <w:rFonts w:ascii="Verdana" w:hAnsi="Verdana"/>
                <w:b w:val="0"/>
                <w:sz w:val="16"/>
              </w:rPr>
              <w:t>Températures de luminance mesurées par SSU - canaux 1 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12 019 (Produit SAR mode vague avec modification du champ pour déterminer le numéro d'onde (spectrale))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3 01 048</w:t>
            </w:r>
          </w:p>
        </w:tc>
        <w:tc>
          <w:tcPr>
            <w:tcW w:type="dxa" w:w="3784"/>
          </w:tcPr>
          <w:p>
            <w:pPr>
              <w:spacing w:before="20" w:after="20"/>
            </w:pPr>
            <w:r/>
            <w:r>
              <w:rPr>
                <w:rFonts w:ascii="Verdana" w:hAnsi="Verdana"/>
                <w:b w:val="0"/>
                <w:sz w:val="16"/>
              </w:rPr>
              <w:t>Paramètres de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0 15 015</w:t>
            </w:r>
          </w:p>
        </w:tc>
        <w:tc>
          <w:tcPr>
            <w:tcW w:type="dxa" w:w="3784"/>
          </w:tcPr>
          <w:p>
            <w:pPr>
              <w:spacing w:before="20" w:after="20"/>
            </w:pPr>
            <w:r/>
            <w:r>
              <w:rPr>
                <w:rFonts w:ascii="Verdana" w:hAnsi="Verdana"/>
                <w:b w:val="0"/>
                <w:sz w:val="16"/>
              </w:rPr>
              <w:t>Valeur maximale du spectre de l'image avant normalisation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Type de grille de coordonnées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0 21 076</w:t>
            </w:r>
          </w:p>
        </w:tc>
        <w:tc>
          <w:tcPr>
            <w:tcW w:type="dxa" w:w="3784"/>
          </w:tcPr>
          <w:p>
            <w:pPr>
              <w:spacing w:before="20" w:after="20"/>
            </w:pPr>
            <w:r/>
            <w:r>
              <w:rPr>
                <w:rFonts w:ascii="Verdana" w:hAnsi="Verdana"/>
                <w:b w:val="0"/>
                <w:sz w:val="16"/>
              </w:rPr>
              <w:t>Représentation des intensités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1 06 012</w:t>
            </w:r>
          </w:p>
        </w:tc>
        <w:tc>
          <w:tcPr>
            <w:tcW w:type="dxa" w:w="3784"/>
          </w:tcPr>
          <w:p>
            <w:pPr>
              <w:spacing w:before="20" w:after="20"/>
            </w:pPr>
            <w:r/>
            <w:r>
              <w:rPr>
                <w:rFonts w:ascii="Verdana" w:hAnsi="Verdana"/>
                <w:b w:val="0"/>
                <w:sz w:val="16"/>
              </w:rPr>
              <w:t>Répéter 6 descripteurs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14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Numéro d'onde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1 02 012</w:t>
            </w:r>
          </w:p>
        </w:tc>
        <w:tc>
          <w:tcPr>
            <w:tcW w:type="dxa" w:w="3784"/>
          </w:tcPr>
          <w:p>
            <w:pPr>
              <w:spacing w:before="20" w:after="20"/>
            </w:pPr>
            <w:r/>
            <w:r>
              <w:rPr>
                <w:rFonts w:ascii="Verdana" w:hAnsi="Verdana"/>
                <w:b w:val="0"/>
                <w:sz w:val="16"/>
              </w:rPr>
              <w:t>Répéter 2 descripteurs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0 21 075</w:t>
            </w:r>
          </w:p>
        </w:tc>
        <w:tc>
          <w:tcPr>
            <w:tcW w:type="dxa" w:w="3784"/>
          </w:tcPr>
          <w:p>
            <w:pPr>
              <w:spacing w:before="20" w:after="20"/>
            </w:pPr>
            <w:r/>
            <w:r>
              <w:rPr>
                <w:rFonts w:ascii="Verdana" w:hAnsi="Verdana"/>
                <w:b w:val="0"/>
                <w:sz w:val="16"/>
              </w:rPr>
              <w:t>Intensité spectrale de l'image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0 21 066</w:t>
            </w:r>
          </w:p>
        </w:tc>
        <w:tc>
          <w:tcPr>
            <w:tcW w:type="dxa" w:w="3784"/>
          </w:tcPr>
          <w:p>
            <w:pPr>
              <w:spacing w:before="20" w:after="20"/>
            </w:pPr>
            <w:r/>
            <w:r>
              <w:rPr>
                <w:rFonts w:ascii="Verdana" w:hAnsi="Verdana"/>
                <w:b w:val="0"/>
                <w:sz w:val="16"/>
              </w:rPr>
              <w:t>Données sur le degré de confiance du produit SAR mode vague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12 020 (Produit SAR mode vague)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3 01 048</w:t>
            </w:r>
          </w:p>
        </w:tc>
        <w:tc>
          <w:tcPr>
            <w:tcW w:type="dxa" w:w="3784"/>
          </w:tcPr>
          <w:p>
            <w:pPr>
              <w:spacing w:before="20" w:after="20"/>
            </w:pPr>
            <w:r/>
            <w:r>
              <w:rPr>
                <w:rFonts w:ascii="Verdana" w:hAnsi="Verdana"/>
                <w:b w:val="0"/>
                <w:sz w:val="16"/>
              </w:rPr>
              <w:t>Paramètres de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0 15 015</w:t>
            </w:r>
          </w:p>
        </w:tc>
        <w:tc>
          <w:tcPr>
            <w:tcW w:type="dxa" w:w="3784"/>
          </w:tcPr>
          <w:p>
            <w:pPr>
              <w:spacing w:before="20" w:after="20"/>
            </w:pPr>
            <w:r/>
            <w:r>
              <w:rPr>
                <w:rFonts w:ascii="Verdana" w:hAnsi="Verdana"/>
                <w:b w:val="0"/>
                <w:sz w:val="16"/>
              </w:rPr>
              <w:t>Valeur maximale du spectre de l'image avant normalisation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Type de grille de coordonnées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0 21 076</w:t>
            </w:r>
          </w:p>
        </w:tc>
        <w:tc>
          <w:tcPr>
            <w:tcW w:type="dxa" w:w="3784"/>
          </w:tcPr>
          <w:p>
            <w:pPr>
              <w:spacing w:before="20" w:after="20"/>
            </w:pPr>
            <w:r/>
            <w:r>
              <w:rPr>
                <w:rFonts w:ascii="Verdana" w:hAnsi="Verdana"/>
                <w:b w:val="0"/>
                <w:sz w:val="16"/>
              </w:rPr>
              <w:t>Représentation des intensités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1 04 012</w:t>
            </w:r>
          </w:p>
        </w:tc>
        <w:tc>
          <w:tcPr>
            <w:tcW w:type="dxa" w:w="3784"/>
          </w:tcPr>
          <w:p>
            <w:pPr>
              <w:spacing w:before="20" w:after="20"/>
            </w:pPr>
            <w:r/>
            <w:r>
              <w:rPr>
                <w:rFonts w:ascii="Verdana" w:hAnsi="Verdana"/>
                <w:b w:val="0"/>
                <w:sz w:val="16"/>
              </w:rPr>
              <w:t>Répéter 4 descripteurs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Numéro d'onde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1 02 012</w:t>
            </w:r>
          </w:p>
        </w:tc>
        <w:tc>
          <w:tcPr>
            <w:tcW w:type="dxa" w:w="3784"/>
          </w:tcPr>
          <w:p>
            <w:pPr>
              <w:spacing w:before="20" w:after="20"/>
            </w:pPr>
            <w:r/>
            <w:r>
              <w:rPr>
                <w:rFonts w:ascii="Verdana" w:hAnsi="Verdana"/>
                <w:b w:val="0"/>
                <w:sz w:val="16"/>
              </w:rPr>
              <w:t>Répéter 2 descripteurs 12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0 21 075</w:t>
            </w:r>
          </w:p>
        </w:tc>
        <w:tc>
          <w:tcPr>
            <w:tcW w:type="dxa" w:w="3784"/>
          </w:tcPr>
          <w:p>
            <w:pPr>
              <w:spacing w:before="20" w:after="20"/>
            </w:pPr>
            <w:r/>
            <w:r>
              <w:rPr>
                <w:rFonts w:ascii="Verdana" w:hAnsi="Verdana"/>
                <w:b w:val="0"/>
                <w:sz w:val="16"/>
              </w:rPr>
              <w:t>Intensité spectrale de l'image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0 21 066</w:t>
            </w:r>
          </w:p>
        </w:tc>
        <w:tc>
          <w:tcPr>
            <w:tcW w:type="dxa" w:w="3784"/>
          </w:tcPr>
          <w:p>
            <w:pPr>
              <w:spacing w:before="20" w:after="20"/>
            </w:pPr>
            <w:r/>
            <w:r>
              <w:rPr>
                <w:rFonts w:ascii="Verdana" w:hAnsi="Verdana"/>
                <w:b w:val="0"/>
                <w:sz w:val="16"/>
              </w:rPr>
              <w:t>Données sur le degré de confiance du produit SAR mode vague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12 021 (Produit du diffusiomètre concernant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3 01 049</w:t>
            </w:r>
          </w:p>
        </w:tc>
        <w:tc>
          <w:tcPr>
            <w:tcW w:type="dxa" w:w="3784"/>
          </w:tcPr>
          <w:p>
            <w:pPr>
              <w:spacing w:before="20" w:after="20"/>
            </w:pPr>
            <w:r/>
            <w:r>
              <w:rPr>
                <w:rFonts w:ascii="Verdana" w:hAnsi="Verdana"/>
                <w:b w:val="0"/>
                <w:sz w:val="16"/>
              </w:rPr>
              <w:t>Données du faisceau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0 21 067</w:t>
            </w:r>
          </w:p>
        </w:tc>
        <w:tc>
          <w:tcPr>
            <w:tcW w:type="dxa" w:w="3784"/>
          </w:tcPr>
          <w:p>
            <w:pPr>
              <w:spacing w:before="20" w:after="20"/>
            </w:pPr>
            <w:r/>
            <w:r>
              <w:rPr>
                <w:rFonts w:ascii="Verdana" w:hAnsi="Verdana"/>
                <w:b w:val="0"/>
                <w:sz w:val="16"/>
              </w:rPr>
              <w:t>Données sur le degré de confiance du produit concernant le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12 022 (Produit du radioaltimètre)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correspondant à une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0 11 050</w:t>
            </w:r>
          </w:p>
        </w:tc>
        <w:tc>
          <w:tcPr>
            <w:tcW w:type="dxa" w:w="3784"/>
          </w:tcPr>
          <w:p>
            <w:pPr>
              <w:spacing w:before="20" w:after="20"/>
            </w:pPr>
            <w:r/>
            <w:r>
              <w:rPr>
                <w:rFonts w:ascii="Verdana" w:hAnsi="Verdana"/>
                <w:b w:val="0"/>
                <w:sz w:val="16"/>
              </w:rPr>
              <w:t>Écart type de la vitesse du vent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0 22 026</w:t>
            </w:r>
          </w:p>
        </w:tc>
        <w:tc>
          <w:tcPr>
            <w:tcW w:type="dxa" w:w="3784"/>
          </w:tcPr>
          <w:p>
            <w:pPr>
              <w:spacing w:before="20" w:after="20"/>
            </w:pPr>
            <w:r/>
            <w:r>
              <w:rPr>
                <w:rFonts w:ascii="Verdana" w:hAnsi="Verdana"/>
                <w:b w:val="0"/>
                <w:sz w:val="16"/>
              </w:rPr>
              <w:t>Écart type de la hauteur significative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3 12 041</w:t>
            </w:r>
          </w:p>
        </w:tc>
        <w:tc>
          <w:tcPr>
            <w:tcW w:type="dxa" w:w="3784"/>
          </w:tcPr>
          <w:p>
            <w:pPr>
              <w:spacing w:before="20" w:after="20"/>
            </w:pPr>
            <w:r/>
            <w:r>
              <w:rPr>
                <w:rFonts w:ascii="Verdana" w:hAnsi="Verdana"/>
                <w:b w:val="0"/>
                <w:sz w:val="16"/>
              </w:rPr>
              <w:t>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0 10 050</w:t>
            </w:r>
          </w:p>
        </w:tc>
        <w:tc>
          <w:tcPr>
            <w:tcW w:type="dxa" w:w="3784"/>
          </w:tcPr>
          <w:p>
            <w:pPr>
              <w:spacing w:before="20" w:after="20"/>
            </w:pPr>
            <w:r/>
            <w:r>
              <w:rPr>
                <w:rFonts w:ascii="Verdana" w:hAnsi="Verdana"/>
                <w:b w:val="0"/>
                <w:sz w:val="16"/>
              </w:rPr>
              <w:t>Écart type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0 21 068</w:t>
            </w:r>
          </w:p>
        </w:tc>
        <w:tc>
          <w:tcPr>
            <w:tcW w:type="dxa" w:w="3784"/>
          </w:tcPr>
          <w:p>
            <w:pPr>
              <w:spacing w:before="20" w:after="20"/>
            </w:pPr>
            <w:r/>
            <w:r>
              <w:rPr>
                <w:rFonts w:ascii="Verdana" w:hAnsi="Verdana"/>
                <w:b w:val="0"/>
                <w:sz w:val="16"/>
              </w:rPr>
              <w:t>Données sur le degré de confiance du produit du radioaltimètre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0 21 071</w:t>
            </w:r>
          </w:p>
        </w:tc>
        <w:tc>
          <w:tcPr>
            <w:tcW w:type="dxa" w:w="3784"/>
          </w:tcPr>
          <w:p>
            <w:pPr>
              <w:spacing w:before="20" w:after="20"/>
            </w:pPr>
            <w:r/>
            <w:r>
              <w:rPr>
                <w:rFonts w:ascii="Verdana" w:hAnsi="Verdana"/>
                <w:b w:val="0"/>
                <w:sz w:val="16"/>
              </w:rPr>
              <w:t>Maxima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0 21 072</w:t>
            </w:r>
          </w:p>
        </w:tc>
        <w:tc>
          <w:tcPr>
            <w:tcW w:type="dxa" w:w="3784"/>
          </w:tcPr>
          <w:p>
            <w:pPr>
              <w:spacing w:before="20" w:after="20"/>
            </w:pPr>
            <w:r/>
            <w:r>
              <w:rPr>
                <w:rFonts w:ascii="Verdana" w:hAnsi="Verdana"/>
                <w:b w:val="0"/>
                <w:sz w:val="16"/>
              </w:rPr>
              <w:t>État d'étalonnage de l'altimètre sur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0 21 073</w:t>
            </w:r>
          </w:p>
        </w:tc>
        <w:tc>
          <w:tcPr>
            <w:tcW w:type="dxa" w:w="3784"/>
          </w:tcPr>
          <w:p>
            <w:pPr>
              <w:spacing w:before="20" w:after="20"/>
            </w:pPr>
            <w:r/>
            <w:r>
              <w:rPr>
                <w:rFonts w:ascii="Verdana" w:hAnsi="Verdana"/>
                <w:b w:val="0"/>
                <w:sz w:val="16"/>
              </w:rPr>
              <w:t>Mode de l'altimètre sur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3 12 042</w:t>
            </w:r>
          </w:p>
        </w:tc>
        <w:tc>
          <w:tcPr>
            <w:tcW w:type="dxa" w:w="3784"/>
          </w:tcPr>
          <w:p>
            <w:pPr>
              <w:spacing w:before="20" w:after="20"/>
            </w:pPr>
            <w:r/>
            <w:r>
              <w:rPr>
                <w:rFonts w:ascii="Verdana" w:hAnsi="Verdana"/>
                <w:b w:val="0"/>
                <w:sz w:val="16"/>
              </w:rPr>
              <w:t>Corrections d'altitude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 10 de la densité électronique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12 023 (Produit concernant la température de la mer en surface par ATSR)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Répéter 3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correspondant à une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0 22 050</w:t>
            </w:r>
          </w:p>
        </w:tc>
        <w:tc>
          <w:tcPr>
            <w:tcW w:type="dxa" w:w="3784"/>
          </w:tcPr>
          <w:p>
            <w:pPr>
              <w:spacing w:before="20" w:after="20"/>
            </w:pPr>
            <w:r/>
            <w:r>
              <w:rPr>
                <w:rFonts w:ascii="Verdana" w:hAnsi="Verdana"/>
                <w:b w:val="0"/>
                <w:sz w:val="16"/>
              </w:rPr>
              <w:t>Écart type de la température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0 21 069</w:t>
            </w:r>
          </w:p>
        </w:tc>
        <w:tc>
          <w:tcPr>
            <w:tcW w:type="dxa" w:w="3784"/>
          </w:tcPr>
          <w:p>
            <w:pPr>
              <w:spacing w:before="20" w:after="20"/>
            </w:pPr>
            <w:r/>
            <w:r>
              <w:rPr>
                <w:rFonts w:ascii="Verdana" w:hAnsi="Verdana"/>
                <w:b w:val="0"/>
                <w:sz w:val="16"/>
              </w:rPr>
              <w:t>Données sur le degré de confiance du produit concernant la température de la mer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0 21 085</w:t>
            </w:r>
          </w:p>
        </w:tc>
        <w:tc>
          <w:tcPr>
            <w:tcW w:type="dxa" w:w="3784"/>
          </w:tcPr>
          <w:p>
            <w:pPr>
              <w:spacing w:before="20" w:after="20"/>
            </w:pPr>
            <w:r/>
            <w:r>
              <w:rPr>
                <w:rFonts w:ascii="Verdana" w:hAnsi="Verdana"/>
                <w:b w:val="0"/>
                <w:sz w:val="16"/>
              </w:rPr>
              <w:t>Nombre de bandes transversales de mesure de la température de la mer en surface par ATSR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12 024 (Produit SAR mode vague - format étendu)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3 12 020</w:t>
            </w:r>
          </w:p>
        </w:tc>
        <w:tc>
          <w:tcPr>
            <w:tcW w:type="dxa" w:w="3784"/>
          </w:tcPr>
          <w:p>
            <w:pPr>
              <w:spacing w:before="20" w:after="20"/>
            </w:pPr>
            <w:r/>
            <w:r>
              <w:rPr>
                <w:rFonts w:ascii="Verdana" w:hAnsi="Verdana"/>
                <w:b w:val="0"/>
                <w:sz w:val="16"/>
              </w:rPr>
              <w:t>Produit SAR mode vague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données dans l'échantillon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données dans l'échantillon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Coupure azimutale due au fouillis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0 22 101</w:t>
            </w:r>
          </w:p>
        </w:tc>
        <w:tc>
          <w:tcPr>
            <w:tcW w:type="dxa" w:w="3784"/>
          </w:tcPr>
          <w:p>
            <w:pPr>
              <w:spacing w:before="20" w:after="20"/>
            </w:pPr>
            <w:r/>
            <w:r>
              <w:rPr>
                <w:rFonts w:ascii="Verdana" w:hAnsi="Verdana"/>
                <w:b w:val="0"/>
                <w:sz w:val="16"/>
              </w:rPr>
              <w:t>Énergie totale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0 22 097</w:t>
            </w:r>
          </w:p>
        </w:tc>
        <w:tc>
          <w:tcPr>
            <w:tcW w:type="dxa" w:w="3784"/>
          </w:tcPr>
          <w:p>
            <w:pPr>
              <w:spacing w:before="20" w:after="20"/>
            </w:pPr>
            <w:r/>
            <w:r>
              <w:rPr>
                <w:rFonts w:ascii="Verdana" w:hAnsi="Verdana"/>
                <w:b w:val="0"/>
                <w:sz w:val="16"/>
              </w:rPr>
              <w:t>Longueur d'onde moyenne du spectre de l'image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0 22 098</w:t>
            </w:r>
          </w:p>
        </w:tc>
        <w:tc>
          <w:tcPr>
            <w:tcW w:type="dxa" w:w="3784"/>
          </w:tcPr>
          <w:p>
            <w:pPr>
              <w:spacing w:before="20" w:after="20"/>
            </w:pPr>
            <w:r/>
            <w:r>
              <w:rPr>
                <w:rFonts w:ascii="Verdana" w:hAnsi="Verdana"/>
                <w:b w:val="0"/>
                <w:sz w:val="16"/>
              </w:rPr>
              <w:t>Dispersion en longueur d'onde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0 22 099</w:t>
            </w:r>
          </w:p>
        </w:tc>
        <w:tc>
          <w:tcPr>
            <w:tcW w:type="dxa" w:w="3784"/>
          </w:tcPr>
          <w:p>
            <w:pPr>
              <w:spacing w:before="20" w:after="20"/>
            </w:pPr>
            <w:r/>
            <w:r>
              <w:rPr>
                <w:rFonts w:ascii="Verdana" w:hAnsi="Verdana"/>
                <w:b w:val="0"/>
                <w:sz w:val="16"/>
              </w:rPr>
              <w:t>Direction moyenne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0 22 100</w:t>
            </w:r>
          </w:p>
        </w:tc>
        <w:tc>
          <w:tcPr>
            <w:tcW w:type="dxa" w:w="3784"/>
          </w:tcPr>
          <w:p>
            <w:pPr>
              <w:spacing w:before="20" w:after="20"/>
            </w:pPr>
            <w:r/>
            <w:r>
              <w:rPr>
                <w:rFonts w:ascii="Verdana" w:hAnsi="Verdana"/>
                <w:b w:val="0"/>
                <w:sz w:val="16"/>
              </w:rPr>
              <w:t>Dispersion en direction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12 025 (Produit SAR mode vague - format étendu avec modification du champ pour déterminer le numéro d'onde (spectrale))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3 12 019</w:t>
            </w:r>
          </w:p>
        </w:tc>
        <w:tc>
          <w:tcPr>
            <w:tcW w:type="dxa" w:w="3784"/>
          </w:tcPr>
          <w:p>
            <w:pPr>
              <w:spacing w:before="20" w:after="20"/>
            </w:pPr>
            <w:r/>
            <w:r>
              <w:rPr>
                <w:rFonts w:ascii="Verdana" w:hAnsi="Verdana"/>
                <w:b w:val="0"/>
                <w:sz w:val="16"/>
              </w:rPr>
              <w:t>Produit SAR mode vague avec modification du champ pour déterminer le numéro d'onde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données dans l'échantillon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données dans l'échantillon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Coupure azimutale due au fouillis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0 22 101</w:t>
            </w:r>
          </w:p>
        </w:tc>
        <w:tc>
          <w:tcPr>
            <w:tcW w:type="dxa" w:w="3784"/>
          </w:tcPr>
          <w:p>
            <w:pPr>
              <w:spacing w:before="20" w:after="20"/>
            </w:pPr>
            <w:r/>
            <w:r>
              <w:rPr>
                <w:rFonts w:ascii="Verdana" w:hAnsi="Verdana"/>
                <w:b w:val="0"/>
                <w:sz w:val="16"/>
              </w:rPr>
              <w:t>Énergie totale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0 22 097</w:t>
            </w:r>
          </w:p>
        </w:tc>
        <w:tc>
          <w:tcPr>
            <w:tcW w:type="dxa" w:w="3784"/>
          </w:tcPr>
          <w:p>
            <w:pPr>
              <w:spacing w:before="20" w:after="20"/>
            </w:pPr>
            <w:r/>
            <w:r>
              <w:rPr>
                <w:rFonts w:ascii="Verdana" w:hAnsi="Verdana"/>
                <w:b w:val="0"/>
                <w:sz w:val="16"/>
              </w:rPr>
              <w:t>Longueur d'onde moyenne du spectre de l'image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0 22 098</w:t>
            </w:r>
          </w:p>
        </w:tc>
        <w:tc>
          <w:tcPr>
            <w:tcW w:type="dxa" w:w="3784"/>
          </w:tcPr>
          <w:p>
            <w:pPr>
              <w:spacing w:before="20" w:after="20"/>
            </w:pPr>
            <w:r/>
            <w:r>
              <w:rPr>
                <w:rFonts w:ascii="Verdana" w:hAnsi="Verdana"/>
                <w:b w:val="0"/>
                <w:sz w:val="16"/>
              </w:rPr>
              <w:t>Dispersion en longueur d'onde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0 22 099</w:t>
            </w:r>
          </w:p>
        </w:tc>
        <w:tc>
          <w:tcPr>
            <w:tcW w:type="dxa" w:w="3784"/>
          </w:tcPr>
          <w:p>
            <w:pPr>
              <w:spacing w:before="20" w:after="20"/>
            </w:pPr>
            <w:r/>
            <w:r>
              <w:rPr>
                <w:rFonts w:ascii="Verdana" w:hAnsi="Verdana"/>
                <w:b w:val="0"/>
                <w:sz w:val="16"/>
              </w:rPr>
              <w:t>Direction moyenne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0 22 100</w:t>
            </w:r>
          </w:p>
        </w:tc>
        <w:tc>
          <w:tcPr>
            <w:tcW w:type="dxa" w:w="3784"/>
          </w:tcPr>
          <w:p>
            <w:pPr>
              <w:spacing w:before="20" w:after="20"/>
            </w:pPr>
            <w:r/>
            <w:r>
              <w:rPr>
                <w:rFonts w:ascii="Verdana" w:hAnsi="Verdana"/>
                <w:b w:val="0"/>
                <w:sz w:val="16"/>
              </w:rPr>
              <w:t>Dispersion en direction aux petits nombres d'ondes (longueur d'onde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12 026 (Donnée de Quikscat)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Indicateur d'identification du satellite, direction de déplacement, détecteur, modèle, logiciel,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3 12 031</w:t>
            </w:r>
          </w:p>
        </w:tc>
        <w:tc>
          <w:tcPr>
            <w:tcW w:type="dxa" w:w="3784"/>
          </w:tcPr>
          <w:p>
            <w:pPr>
              <w:spacing w:before="20" w:after="20"/>
            </w:pPr>
            <w:r/>
            <w:r>
              <w:rPr>
                <w:rFonts w:ascii="Verdana" w:hAnsi="Verdana"/>
                <w:b w:val="0"/>
                <w:sz w:val="16"/>
              </w:rPr>
              <w:t>Vent mesuré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Vent, incertitude formelle, vraisemblance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Numéro de sigma-0 du faisceau intérieur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Spécification du radar, surface équivalente radar normalisée,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0 21 111</w:t>
            </w:r>
          </w:p>
        </w:tc>
        <w:tc>
          <w:tcPr>
            <w:tcW w:type="dxa" w:w="3784"/>
          </w:tcPr>
          <w:p>
            <w:pPr>
              <w:spacing w:before="20" w:after="20"/>
            </w:pPr>
            <w:r/>
            <w:r>
              <w:rPr>
                <w:rFonts w:ascii="Verdana" w:hAnsi="Verdana"/>
                <w:b w:val="0"/>
                <w:sz w:val="16"/>
              </w:rPr>
              <w:t>Numéro de sigma-0 du faisceau extérieur (à l'avant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Spécification du radar, surface équivalente radar normalisée,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0 21 112</w:t>
            </w:r>
          </w:p>
        </w:tc>
        <w:tc>
          <w:tcPr>
            <w:tcW w:type="dxa" w:w="3784"/>
          </w:tcPr>
          <w:p>
            <w:pPr>
              <w:spacing w:before="20" w:after="20"/>
            </w:pPr>
            <w:r/>
            <w:r>
              <w:rPr>
                <w:rFonts w:ascii="Verdana" w:hAnsi="Verdana"/>
                <w:b w:val="0"/>
                <w:sz w:val="16"/>
              </w:rPr>
              <w:t>Numéro de sigma-0 du faisceau intérieur (à l'arrière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Spécification du radar, surface équivalente radar normalisée,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0 21 113</w:t>
            </w:r>
          </w:p>
        </w:tc>
        <w:tc>
          <w:tcPr>
            <w:tcW w:type="dxa" w:w="3784"/>
          </w:tcPr>
          <w:p>
            <w:pPr>
              <w:spacing w:before="20" w:after="20"/>
            </w:pPr>
            <w:r/>
            <w:r>
              <w:rPr>
                <w:rFonts w:ascii="Verdana" w:hAnsi="Verdana"/>
                <w:b w:val="0"/>
                <w:sz w:val="16"/>
              </w:rPr>
              <w:t>Numéro de sigma-0 du faisceau extérieur (à l'arrière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Spécification du radar, surface équivalente radar normalisée,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12 027 (Produits concernant la température de surface de la mer (SST) mesurée par ATSR (SADIST-2))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En-tête de produits de satellite 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1 05 009</w:t>
            </w:r>
          </w:p>
        </w:tc>
        <w:tc>
          <w:tcPr>
            <w:tcW w:type="dxa" w:w="3784"/>
          </w:tcPr>
          <w:p>
            <w:pPr>
              <w:spacing w:before="20" w:after="20"/>
            </w:pPr>
            <w:r/>
            <w:r>
              <w:rPr>
                <w:rFonts w:ascii="Verdana" w:hAnsi="Verdana"/>
                <w:b w:val="0"/>
                <w:sz w:val="16"/>
              </w:rPr>
              <w:t>Répéter 5 descripteurs 9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t>Cellule de 10 minutes d'arc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Angle d'incidence pour la visée au nadir mis à zéro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Température de la pellicule superficielle</w:t>
            </w:r>
          </w:p>
        </w:tc>
        <w:tc>
          <w:tcPr>
            <w:tcW w:type="dxa" w:w="3784"/>
          </w:tcPr>
          <w:p>
            <w:pPr>
              <w:spacing w:before="20" w:after="20"/>
            </w:pPr>
            <w:r/>
            <w:r>
              <w:rPr>
                <w:rFonts w:ascii="Verdana" w:hAnsi="Verdana"/>
                <w:b w:val="0"/>
                <w:sz w:val="16"/>
              </w:rPr>
              <w:t>SST (visée double)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Angle d'incidence pour la visée double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Température de la pellicule superficielle</w:t>
            </w:r>
          </w:p>
        </w:tc>
        <w:tc>
          <w:tcPr>
            <w:tcW w:type="dxa" w:w="3784"/>
          </w:tcPr>
          <w:p>
            <w:pPr>
              <w:spacing w:before="20" w:after="20"/>
            </w:pPr>
            <w:r/>
            <w:r>
              <w:rPr>
                <w:rFonts w:ascii="Verdana" w:hAnsi="Verdana"/>
                <w:b w:val="0"/>
                <w:sz w:val="16"/>
              </w:rPr>
              <w:t>SST (visée double)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0 21 085</w:t>
            </w:r>
          </w:p>
        </w:tc>
        <w:tc>
          <w:tcPr>
            <w:tcW w:type="dxa" w:w="3784"/>
          </w:tcPr>
          <w:p>
            <w:pPr>
              <w:spacing w:before="20" w:after="20"/>
            </w:pPr>
            <w:r/>
            <w:r>
              <w:rPr>
                <w:rFonts w:ascii="Verdana" w:hAnsi="Verdana"/>
                <w:b w:val="0"/>
                <w:sz w:val="16"/>
              </w:rPr>
              <w:t>Nombre de bandes transversales de mesure de la température de la mer en surface par ATSR</w:t>
            </w:r>
          </w:p>
        </w:tc>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0 21 070</w:t>
            </w:r>
          </w:p>
        </w:tc>
        <w:tc>
          <w:tcPr>
            <w:tcW w:type="dxa" w:w="3784"/>
          </w:tcPr>
          <w:p>
            <w:pPr>
              <w:spacing w:before="20" w:after="20"/>
            </w:pPr>
            <w:r/>
            <w:r>
              <w:rPr>
                <w:rFonts w:ascii="Verdana" w:hAnsi="Verdana"/>
                <w:b w:val="0"/>
                <w:sz w:val="16"/>
              </w:rPr>
              <w:t>Données sur le degré de confiance du produit concernant la température de surface de la mer (SADIST-2)</w:t>
            </w:r>
          </w:p>
        </w:tc>
        <w:tc>
          <w:tcPr>
            <w:tcW w:type="dxa" w:w="3784"/>
          </w:tcPr>
          <w:p>
            <w:pPr>
              <w:spacing w:before="20" w:after="20"/>
            </w:pPr>
            <w:r/>
            <w:r>
              <w:rPr>
                <w:rFonts w:ascii="Verdana" w:hAnsi="Verdana"/>
                <w:b w:val="0"/>
                <w:sz w:val="16"/>
              </w:rPr>
              <w:t>Indicateur de 23 bits</w:t>
            </w:r>
          </w:p>
        </w:tc>
        <w:tc>
          <w:tcPr>
            <w:tcW w:type="dxa" w:w="3784"/>
          </w:tcPr>
          <w:p>
            <w:pPr>
              <w:spacing w:before="20" w:after="20"/>
            </w:pPr>
            <w:r/>
            <w:r>
              <w:rPr>
                <w:rFonts w:ascii="Verdana" w:hAnsi="Verdana"/>
                <w:b w:val="0"/>
                <w:sz w:val="16"/>
              </w:rPr>
            </w:r>
          </w:p>
        </w:tc>
      </w:tr>
    </w:tbl>
    <w:p/>
    <w:p>
      <w:r>
        <w:rPr>
          <w:rFonts w:ascii="Verdana" w:hAnsi="Verdana"/>
          <w:b/>
          <w:sz w:val="18"/>
        </w:rPr>
        <w:t>3 12 028 (Données SEAWINDS transmises par QUIKSCAT)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Indicateur d'identification du satellite, direction de déplacement, détecteur, modèle, logiciel,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0 08 025</w:t>
            </w:r>
          </w:p>
        </w:tc>
        <w:tc>
          <w:tcPr>
            <w:tcW w:type="dxa" w:w="3784"/>
          </w:tcPr>
          <w:p>
            <w:pPr>
              <w:spacing w:before="20" w:after="20"/>
            </w:pPr>
            <w:r/>
            <w:r>
              <w:rPr>
                <w:rFonts w:ascii="Verdana" w:hAnsi="Verdana"/>
                <w:b w:val="0"/>
                <w:sz w:val="16"/>
              </w:rPr>
              <w:t>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3 12 031</w:t>
            </w:r>
          </w:p>
        </w:tc>
        <w:tc>
          <w:tcPr>
            <w:tcW w:type="dxa" w:w="3784"/>
          </w:tcPr>
          <w:p>
            <w:pPr>
              <w:spacing w:before="20" w:after="20"/>
            </w:pPr>
            <w:r/>
            <w:r>
              <w:rPr>
                <w:rFonts w:ascii="Verdana" w:hAnsi="Verdana"/>
                <w:b w:val="0"/>
                <w:sz w:val="16"/>
              </w:rPr>
              <w:t>Vent mesuré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3 12 032</w:t>
            </w:r>
          </w:p>
        </w:tc>
        <w:tc>
          <w:tcPr>
            <w:tcW w:type="dxa" w:w="3784"/>
          </w:tcPr>
          <w:p>
            <w:pPr>
              <w:spacing w:before="20" w:after="20"/>
            </w:pPr>
            <w:r/>
            <w:r>
              <w:rPr>
                <w:rFonts w:ascii="Verdana" w:hAnsi="Verdana"/>
                <w:b w:val="0"/>
                <w:sz w:val="16"/>
              </w:rPr>
              <w:t>Précipitations mesurées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Vent, incertitude formelle, vraisemblance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3 12 033</w:t>
            </w:r>
          </w:p>
        </w:tc>
        <w:tc>
          <w:tcPr>
            <w:tcW w:type="dxa" w:w="3784"/>
          </w:tcPr>
          <w:p>
            <w:pPr>
              <w:spacing w:before="20" w:after="20"/>
            </w:pPr>
            <w:r/>
            <w:r>
              <w:rPr>
                <w:rFonts w:ascii="Verdana" w:hAnsi="Verdana"/>
                <w:b w:val="0"/>
                <w:sz w:val="16"/>
              </w:rPr>
              <w:t>Polarisation de l'antenne,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Numéro de sigma-0 du faisceau intérieur (à l'avant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Spécification du radar, surface équivalente radar normalisée mesurée par SEAWINDS,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0 21 111</w:t>
            </w:r>
          </w:p>
        </w:tc>
        <w:tc>
          <w:tcPr>
            <w:tcW w:type="dxa" w:w="3784"/>
          </w:tcPr>
          <w:p>
            <w:pPr>
              <w:spacing w:before="20" w:after="20"/>
            </w:pPr>
            <w:r/>
            <w:r>
              <w:rPr>
                <w:rFonts w:ascii="Verdana" w:hAnsi="Verdana"/>
                <w:b w:val="0"/>
                <w:sz w:val="16"/>
              </w:rPr>
              <w:t>Numéro de sigma-0 du faisceau extérieur (à l'avant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Spécification du radar, surface équivalente radar normalisée mesurée par SEAWINDS,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0 21 112</w:t>
            </w:r>
          </w:p>
        </w:tc>
        <w:tc>
          <w:tcPr>
            <w:tcW w:type="dxa" w:w="3784"/>
          </w:tcPr>
          <w:p>
            <w:pPr>
              <w:spacing w:before="20" w:after="20"/>
            </w:pPr>
            <w:r/>
            <w:r>
              <w:rPr>
                <w:rFonts w:ascii="Verdana" w:hAnsi="Verdana"/>
                <w:b w:val="0"/>
                <w:sz w:val="16"/>
              </w:rPr>
              <w:t>Numéro de sigma-0 du faisceau intérieur (à l'arrière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Spécification du radar, surface équivalente radar normalisée mesurée par SEAWINDS,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0 21 113</w:t>
            </w:r>
          </w:p>
        </w:tc>
        <w:tc>
          <w:tcPr>
            <w:tcW w:type="dxa" w:w="3784"/>
          </w:tcPr>
          <w:p>
            <w:pPr>
              <w:spacing w:before="20" w:after="20"/>
            </w:pPr>
            <w:r/>
            <w:r>
              <w:rPr>
                <w:rFonts w:ascii="Verdana" w:hAnsi="Verdana"/>
                <w:b w:val="0"/>
                <w:sz w:val="16"/>
              </w:rPr>
              <w:t>Numéro de sigma-0 du faisceau extérieur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Spécification du radar, surface équivalente radar normalisée mesurée par SEAWINDS, coefficient de variance Kp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12 030 (Vent, incertitude formelle, vraisemblance)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0 11 052</w:t>
            </w:r>
          </w:p>
        </w:tc>
        <w:tc>
          <w:tcPr>
            <w:tcW w:type="dxa" w:w="3784"/>
          </w:tcPr>
          <w:p>
            <w:pPr>
              <w:spacing w:before="20" w:after="20"/>
            </w:pPr>
            <w:r/>
            <w:r>
              <w:rPr>
                <w:rFonts w:ascii="Verdana" w:hAnsi="Verdana"/>
                <w:b w:val="0"/>
                <w:sz w:val="16"/>
              </w:rPr>
              <w:t>Incertitude formelle concernant la 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0 11 053</w:t>
            </w:r>
          </w:p>
        </w:tc>
        <w:tc>
          <w:tcPr>
            <w:tcW w:type="dxa" w:w="3784"/>
          </w:tcPr>
          <w:p>
            <w:pPr>
              <w:spacing w:before="20" w:after="20"/>
            </w:pPr>
            <w:r/>
            <w:r>
              <w:rPr>
                <w:rFonts w:ascii="Verdana" w:hAnsi="Verdana"/>
                <w:b w:val="0"/>
                <w:sz w:val="16"/>
              </w:rPr>
              <w:t>Incertitude formelle concernant la 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0 21 104</w:t>
            </w:r>
          </w:p>
        </w:tc>
        <w:tc>
          <w:tcPr>
            <w:tcW w:type="dxa" w:w="3784"/>
          </w:tcPr>
          <w:p>
            <w:pPr>
              <w:spacing w:before="20" w:after="20"/>
            </w:pPr>
            <w:r/>
            <w:r>
              <w:rPr>
                <w:rFonts w:ascii="Verdana" w:hAnsi="Verdana"/>
                <w:b w:val="0"/>
                <w:sz w:val="16"/>
              </w:rPr>
              <w:t>Vraisemblance calculée pour la solution obtenue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12 031 (Vent mesuré par SEAWINDS)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Numéro de la rangée le long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Numéro de cellule dans le plan transversal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0 21 109</w:t>
            </w:r>
          </w:p>
        </w:tc>
        <w:tc>
          <w:tcPr>
            <w:tcW w:type="dxa" w:w="3784"/>
          </w:tcPr>
          <w:p>
            <w:pPr>
              <w:spacing w:before="20" w:after="20"/>
            </w:pPr>
            <w:r/>
            <w:r>
              <w:rPr>
                <w:rFonts w:ascii="Verdana" w:hAnsi="Verdana"/>
                <w:b w:val="0"/>
                <w:sz w:val="16"/>
              </w:rPr>
              <w:t>Qualité du vecteur vent mesuré à l'intérieur de la cellule par SEAWINDS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Direction du vent à 10 m donnée par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Vitesse du vent à 10 m donnée par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Nombre d'ambiguïtés vectorielles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Indice du vecteur vent retenu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0 21 103</w:t>
            </w:r>
          </w:p>
        </w:tc>
        <w:tc>
          <w:tcPr>
            <w:tcW w:type="dxa" w:w="3784"/>
          </w:tcPr>
          <w:p>
            <w:pPr>
              <w:spacing w:before="20" w:after="20"/>
            </w:pPr>
            <w:r/>
            <w:r>
              <w:rPr>
                <w:rFonts w:ascii="Verdana" w:hAnsi="Verdana"/>
                <w:b w:val="0"/>
                <w:sz w:val="16"/>
              </w:rPr>
              <w:t>Nombre total de mesures de Sigma-0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12 032 (Précipitations mesurées par SEAWINDS)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0 21 120</w:t>
            </w:r>
          </w:p>
        </w:tc>
        <w:tc>
          <w:tcPr>
            <w:tcW w:type="dxa" w:w="3784"/>
          </w:tcPr>
          <w:p>
            <w:pPr>
              <w:spacing w:before="20" w:after="20"/>
            </w:pPr>
            <w:r/>
            <w:r>
              <w:rPr>
                <w:rFonts w:ascii="Verdana" w:hAnsi="Verdana"/>
                <w:b w:val="0"/>
                <w:sz w:val="16"/>
              </w:rPr>
              <w:t>Probabilité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0 21 121</w:t>
            </w:r>
          </w:p>
        </w:tc>
        <w:tc>
          <w:tcPr>
            <w:tcW w:type="dxa" w:w="3784"/>
          </w:tcPr>
          <w:p>
            <w:pPr>
              <w:spacing w:before="20" w:after="20"/>
            </w:pPr>
            <w:r/>
            <w:r>
              <w:rPr>
                <w:rFonts w:ascii="Verdana" w:hAnsi="Verdana"/>
                <w:b w:val="0"/>
                <w:sz w:val="16"/>
              </w:rPr>
              <w:t>Indice de pluie déterminé par SEAWINDS à partir d'une fonction objective normalisée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Correction d'atténuation sur sigma-0 (sur la base de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12 033 (Polarisation de l'antenne, température de luminance)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0 12 065</w:t>
            </w:r>
          </w:p>
        </w:tc>
        <w:tc>
          <w:tcPr>
            <w:tcW w:type="dxa" w:w="3784"/>
          </w:tcPr>
          <w:p>
            <w:pPr>
              <w:spacing w:before="20" w:after="20"/>
            </w:pPr>
            <w:r/>
            <w:r>
              <w:rPr>
                <w:rFonts w:ascii="Verdana" w:hAnsi="Verdana"/>
                <w:b w:val="0"/>
                <w:sz w:val="16"/>
              </w:rPr>
              <w:t>Écart type de la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12 041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2 01 141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28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12 042 (Corrections d'altitude)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0 21 077</w:t>
            </w:r>
          </w:p>
        </w:tc>
        <w:tc>
          <w:tcPr>
            <w:tcW w:type="dxa" w:w="3784"/>
          </w:tcPr>
          <w:p>
            <w:pPr>
              <w:spacing w:before="20" w:after="20"/>
            </w:pPr>
            <w:r/>
            <w:r>
              <w:rPr>
                <w:rFonts w:ascii="Verdana" w:hAnsi="Verdana"/>
                <w:b w:val="0"/>
                <w:sz w:val="16"/>
              </w:rPr>
              <w:t>Correction d'altitude (ionosphère)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0 21 078</w:t>
            </w:r>
          </w:p>
        </w:tc>
        <w:tc>
          <w:tcPr>
            <w:tcW w:type="dxa" w:w="3784"/>
          </w:tcPr>
          <w:p>
            <w:pPr>
              <w:spacing w:before="20" w:after="20"/>
            </w:pPr>
            <w:r/>
            <w:r>
              <w:rPr>
                <w:rFonts w:ascii="Verdana" w:hAnsi="Verdana"/>
                <w:b w:val="0"/>
                <w:sz w:val="16"/>
              </w:rPr>
              <w:t>Correction d'altitude (troposphère sèche)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0 21 079</w:t>
            </w:r>
          </w:p>
        </w:tc>
        <w:tc>
          <w:tcPr>
            <w:tcW w:type="dxa" w:w="3784"/>
          </w:tcPr>
          <w:p>
            <w:pPr>
              <w:spacing w:before="20" w:after="20"/>
            </w:pPr>
            <w:r/>
            <w:r>
              <w:rPr>
                <w:rFonts w:ascii="Verdana" w:hAnsi="Verdana"/>
                <w:b w:val="0"/>
                <w:sz w:val="16"/>
              </w:rPr>
              <w:t>Correction d'altitude (troposphère humide)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0 21 080</w:t>
            </w:r>
          </w:p>
        </w:tc>
        <w:tc>
          <w:tcPr>
            <w:tcW w:type="dxa" w:w="3784"/>
          </w:tcPr>
          <w:p>
            <w:pPr>
              <w:spacing w:before="20" w:after="20"/>
            </w:pPr>
            <w:r/>
            <w:r>
              <w:rPr>
                <w:rFonts w:ascii="Verdana" w:hAnsi="Verdana"/>
                <w:b w:val="0"/>
                <w:sz w:val="16"/>
              </w:rPr>
              <w:t>Correction d'altitude (constante d'étalonnage)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0 21 081</w:t>
            </w:r>
          </w:p>
        </w:tc>
        <w:tc>
          <w:tcPr>
            <w:tcW w:type="dxa" w:w="3784"/>
          </w:tcPr>
          <w:p>
            <w:pPr>
              <w:spacing w:before="20" w:after="20"/>
            </w:pPr>
            <w:r/>
            <w:r>
              <w:rPr>
                <w:rFonts w:ascii="Verdana" w:hAnsi="Verdana"/>
                <w:b w:val="0"/>
                <w:sz w:val="16"/>
              </w:rPr>
              <w:t>Correction de boucle ouverte (boucle hauteur-temps)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0 21 082</w:t>
            </w:r>
          </w:p>
        </w:tc>
        <w:tc>
          <w:tcPr>
            <w:tcW w:type="dxa" w:w="3784"/>
          </w:tcPr>
          <w:p>
            <w:pPr>
              <w:spacing w:before="20" w:after="20"/>
            </w:pPr>
            <w:r/>
            <w:r>
              <w:rPr>
                <w:rFonts w:ascii="Verdana" w:hAnsi="Verdana"/>
                <w:b w:val="0"/>
                <w:sz w:val="16"/>
              </w:rPr>
              <w:t>Correction de boucle ouverte (contrôle de gain automatique)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12 045 (Températures de surface de la mer fournies par l'AATSR)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0 12 180</w:t>
            </w:r>
          </w:p>
        </w:tc>
        <w:tc>
          <w:tcPr>
            <w:tcW w:type="dxa" w:w="3784"/>
          </w:tcPr>
          <w:p>
            <w:pPr>
              <w:spacing w:before="20" w:after="20"/>
            </w:pPr>
            <w:r/>
            <w:r>
              <w:rPr>
                <w:rFonts w:ascii="Verdana" w:hAnsi="Verdana"/>
                <w:b w:val="0"/>
                <w:sz w:val="16"/>
              </w:rPr>
              <w:t>Température de luminance moyenne observée à 12 µm pour tous les pixels clairs au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0 12 181</w:t>
            </w:r>
          </w:p>
        </w:tc>
        <w:tc>
          <w:tcPr>
            <w:tcW w:type="dxa" w:w="3784"/>
          </w:tcPr>
          <w:p>
            <w:pPr>
              <w:spacing w:before="20" w:after="20"/>
            </w:pPr>
            <w:r/>
            <w:r>
              <w:rPr>
                <w:rFonts w:ascii="Verdana" w:hAnsi="Verdana"/>
                <w:b w:val="0"/>
                <w:sz w:val="16"/>
              </w:rPr>
              <w:t>Température de luminance moyenne observée à 11 µm pour tous les pixels clairs au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0 12 182</w:t>
            </w:r>
          </w:p>
        </w:tc>
        <w:tc>
          <w:tcPr>
            <w:tcW w:type="dxa" w:w="3784"/>
          </w:tcPr>
          <w:p>
            <w:pPr>
              <w:spacing w:before="20" w:after="20"/>
            </w:pPr>
            <w:r/>
            <w:r>
              <w:rPr>
                <w:rFonts w:ascii="Verdana" w:hAnsi="Verdana"/>
                <w:b w:val="0"/>
                <w:sz w:val="16"/>
              </w:rPr>
              <w:t>Température de luminance moyenne observée à 3,7 µm pour tous les pixels clairs au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0 12 183</w:t>
            </w:r>
          </w:p>
        </w:tc>
        <w:tc>
          <w:tcPr>
            <w:tcW w:type="dxa" w:w="3784"/>
          </w:tcPr>
          <w:p>
            <w:pPr>
              <w:spacing w:before="20" w:after="20"/>
            </w:pPr>
            <w:r/>
            <w:r>
              <w:rPr>
                <w:rFonts w:ascii="Verdana" w:hAnsi="Verdana"/>
                <w:b w:val="0"/>
                <w:sz w:val="16"/>
              </w:rPr>
              <w:t>Température de luminance moyenne observée à 12 µm pour tous les pixels clairs en visée 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0 12 184</w:t>
            </w:r>
          </w:p>
        </w:tc>
        <w:tc>
          <w:tcPr>
            <w:tcW w:type="dxa" w:w="3784"/>
          </w:tcPr>
          <w:p>
            <w:pPr>
              <w:spacing w:before="20" w:after="20"/>
            </w:pPr>
            <w:r/>
            <w:r>
              <w:rPr>
                <w:rFonts w:ascii="Verdana" w:hAnsi="Verdana"/>
                <w:b w:val="0"/>
                <w:sz w:val="16"/>
              </w:rPr>
              <w:t>Température de luminance moyenne observée à 11 µm pour tous les pixels clairs en visée 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0 12 185</w:t>
            </w:r>
          </w:p>
        </w:tc>
        <w:tc>
          <w:tcPr>
            <w:tcW w:type="dxa" w:w="3784"/>
          </w:tcPr>
          <w:p>
            <w:pPr>
              <w:spacing w:before="20" w:after="20"/>
            </w:pPr>
            <w:r/>
            <w:r>
              <w:rPr>
                <w:rFonts w:ascii="Verdana" w:hAnsi="Verdana"/>
                <w:b w:val="0"/>
                <w:sz w:val="16"/>
              </w:rPr>
              <w:t>Température de luminance moyenne observée à 3,7 µm pour tous les pixels clairs en visée avant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0 02 174</w:t>
            </w:r>
          </w:p>
        </w:tc>
        <w:tc>
          <w:tcPr>
            <w:tcW w:type="dxa" w:w="3784"/>
          </w:tcPr>
          <w:p>
            <w:pPr>
              <w:spacing w:before="20" w:after="20"/>
            </w:pPr>
            <w:r/>
            <w:r>
              <w:rPr>
                <w:rFonts w:ascii="Verdana" w:hAnsi="Verdana"/>
                <w:b w:val="0"/>
                <w:sz w:val="16"/>
              </w:rPr>
              <w:t>Nombre moyen de pixels en visée latérale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0 21 086</w:t>
            </w:r>
          </w:p>
        </w:tc>
        <w:tc>
          <w:tcPr>
            <w:tcW w:type="dxa" w:w="3784"/>
          </w:tcPr>
          <w:p>
            <w:pPr>
              <w:spacing w:before="20" w:after="20"/>
            </w:pPr>
            <w:r/>
            <w:r>
              <w:rPr>
                <w:rFonts w:ascii="Verdana" w:hAnsi="Verdana"/>
                <w:b w:val="0"/>
                <w:sz w:val="16"/>
              </w:rPr>
              <w:t>Nombre moyen de pixels au nadir uniquement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0 12 186</w:t>
            </w:r>
          </w:p>
        </w:tc>
        <w:tc>
          <w:tcPr>
            <w:tcW w:type="dxa" w:w="3784"/>
          </w:tcPr>
          <w:p>
            <w:pPr>
              <w:spacing w:before="20" w:after="20"/>
            </w:pPr>
            <w:r/>
            <w:r>
              <w:rPr>
                <w:rFonts w:ascii="Verdana" w:hAnsi="Verdana"/>
                <w:b w:val="0"/>
                <w:sz w:val="16"/>
              </w:rPr>
              <w:t>Température moyenne de surface de la mer au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0 21 087</w:t>
            </w:r>
          </w:p>
        </w:tc>
        <w:tc>
          <w:tcPr>
            <w:tcW w:type="dxa" w:w="3784"/>
          </w:tcPr>
          <w:p>
            <w:pPr>
              <w:spacing w:before="20" w:after="20"/>
            </w:pPr>
            <w:r/>
            <w:r>
              <w:rPr>
                <w:rFonts w:ascii="Verdana" w:hAnsi="Verdana"/>
                <w:b w:val="0"/>
                <w:sz w:val="16"/>
              </w:rPr>
              <w:t>Nombre moyen de pixels en double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0 12 187</w:t>
            </w:r>
          </w:p>
        </w:tc>
        <w:tc>
          <w:tcPr>
            <w:tcW w:type="dxa" w:w="3784"/>
          </w:tcPr>
          <w:p>
            <w:pPr>
              <w:spacing w:before="20" w:after="20"/>
            </w:pPr>
            <w:r/>
            <w:r>
              <w:rPr>
                <w:rFonts w:ascii="Verdana" w:hAnsi="Verdana"/>
                <w:b w:val="0"/>
                <w:sz w:val="16"/>
              </w:rPr>
              <w:t>Température moyenne de surface de la mer en double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0 33 043</w:t>
            </w:r>
          </w:p>
        </w:tc>
        <w:tc>
          <w:tcPr>
            <w:tcW w:type="dxa" w:w="3784"/>
          </w:tcPr>
          <w:p>
            <w:pPr>
              <w:spacing w:before="20" w:after="20"/>
            </w:pPr>
            <w:r/>
            <w:r>
              <w:rPr>
                <w:rFonts w:ascii="Verdana" w:hAnsi="Verdana"/>
                <w:b w:val="0"/>
                <w:sz w:val="16"/>
              </w:rPr>
              <w:t>Degré de confiance de la température moyenne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12 050 (Transmission de données par l'instrument MERIS)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Distance zénithale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0 10 080</w:t>
            </w:r>
          </w:p>
        </w:tc>
        <w:tc>
          <w:tcPr>
            <w:tcW w:type="dxa" w:w="3784"/>
          </w:tcPr>
          <w:p>
            <w:pPr>
              <w:spacing w:before="20" w:after="20"/>
            </w:pPr>
            <w:r/>
            <w:r>
              <w:rPr>
                <w:rFonts w:ascii="Verdana" w:hAnsi="Verdana"/>
                <w:b w:val="0"/>
                <w:sz w:val="16"/>
              </w:rPr>
              <w:t>Distance zénithale de la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0 27 080</w:t>
            </w:r>
          </w:p>
        </w:tc>
        <w:tc>
          <w:tcPr>
            <w:tcW w:type="dxa" w:w="3784"/>
          </w:tcPr>
          <w:p>
            <w:pPr>
              <w:spacing w:before="20" w:after="20"/>
            </w:pPr>
            <w:r/>
            <w:r>
              <w:rPr>
                <w:rFonts w:ascii="Verdana" w:hAnsi="Verdana"/>
                <w:b w:val="0"/>
                <w:sz w:val="16"/>
              </w:rPr>
              <w:t>Azimut de la visée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Épaisseur optique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Colonne totale de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12 051 (Analyse interspectrale de l'océan - (WVS))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0 10 032</w:t>
            </w:r>
          </w:p>
        </w:tc>
        <w:tc>
          <w:tcPr>
            <w:tcW w:type="dxa" w:w="3784"/>
          </w:tcPr>
          <w:p>
            <w:pPr>
              <w:spacing w:before="20" w:after="20"/>
            </w:pPr>
            <w:r/>
            <w:r>
              <w:rPr>
                <w:rFonts w:ascii="Verdana" w:hAnsi="Verdana"/>
                <w:b w:val="0"/>
                <w:sz w:val="16"/>
              </w:rPr>
              <w:t>Distance du satellite au centre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0 10 033</w:t>
            </w:r>
          </w:p>
        </w:tc>
        <w:tc>
          <w:tcPr>
            <w:tcW w:type="dxa" w:w="3784"/>
          </w:tcPr>
          <w:p>
            <w:pPr>
              <w:spacing w:before="20" w:after="20"/>
            </w:pPr>
            <w:r/>
            <w:r>
              <w:rPr>
                <w:rFonts w:ascii="Verdana" w:hAnsi="Verdana"/>
                <w:b w:val="0"/>
                <w:sz w:val="16"/>
              </w:rPr>
              <w:t>Altitude (de la plate-forme par rapport à l'ellipsoïde)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0 10 034</w:t>
            </w:r>
          </w:p>
        </w:tc>
        <w:tc>
          <w:tcPr>
            <w:tcW w:type="dxa" w:w="3784"/>
          </w:tcPr>
          <w:p>
            <w:pPr>
              <w:spacing w:before="20" w:after="20"/>
            </w:pPr>
            <w:r/>
            <w:r>
              <w:rPr>
                <w:rFonts w:ascii="Verdana" w:hAnsi="Verdana"/>
                <w:b w:val="0"/>
                <w:sz w:val="16"/>
              </w:rPr>
              <w:t>Rayon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0 25 110</w:t>
            </w:r>
          </w:p>
        </w:tc>
        <w:tc>
          <w:tcPr>
            <w:tcW w:type="dxa" w:w="3784"/>
          </w:tcPr>
          <w:p>
            <w:pPr>
              <w:spacing w:before="20" w:after="20"/>
            </w:pPr>
            <w:r/>
            <w:r>
              <w:rPr>
                <w:rFonts w:ascii="Verdana" w:hAnsi="Verdana"/>
                <w:b w:val="0"/>
                <w:sz w:val="16"/>
              </w:rPr>
              <w:t>Traitement de l'image en abrégé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0 25 111</w:t>
            </w:r>
          </w:p>
        </w:tc>
        <w:tc>
          <w:tcPr>
            <w:tcW w:type="dxa" w:w="3784"/>
          </w:tcPr>
          <w:p>
            <w:pPr>
              <w:spacing w:before="20" w:after="20"/>
            </w:pPr>
            <w:r/>
            <w:r>
              <w:rPr>
                <w:rFonts w:ascii="Verdana" w:hAnsi="Verdana"/>
                <w:b w:val="0"/>
                <w:sz w:val="16"/>
              </w:rPr>
              <w:t>Nombre de données manquantes à la réception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0 25 102</w:t>
            </w:r>
          </w:p>
        </w:tc>
        <w:tc>
          <w:tcPr>
            <w:tcW w:type="dxa" w:w="3784"/>
          </w:tcPr>
          <w:p>
            <w:pPr>
              <w:spacing w:before="20" w:after="20"/>
            </w:pPr>
            <w:r/>
            <w:r>
              <w:rPr>
                <w:rFonts w:ascii="Verdana" w:hAnsi="Verdana"/>
                <w:b w:val="0"/>
                <w:sz w:val="16"/>
              </w:rPr>
              <w:t>Nombre de lignes manquantes hors données manquantes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0 25 103</w:t>
            </w:r>
          </w:p>
        </w:tc>
        <w:tc>
          <w:tcPr>
            <w:tcW w:type="dxa" w:w="3784"/>
          </w:tcPr>
          <w:p>
            <w:pPr>
              <w:spacing w:before="20" w:after="20"/>
            </w:pPr>
            <w:r/>
            <w:r>
              <w:rPr>
                <w:rFonts w:ascii="Verdana" w:hAnsi="Verdana"/>
                <w:b w:val="0"/>
                <w:sz w:val="16"/>
              </w:rPr>
              <w:t>Nombre de cellules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0 25 104</w:t>
            </w:r>
          </w:p>
        </w:tc>
        <w:tc>
          <w:tcPr>
            <w:tcW w:type="dxa" w:w="3784"/>
          </w:tcPr>
          <w:p>
            <w:pPr>
              <w:spacing w:before="20" w:after="20"/>
            </w:pPr>
            <w:r/>
            <w:r>
              <w:rPr>
                <w:rFonts w:ascii="Verdana" w:hAnsi="Verdana"/>
                <w:b w:val="0"/>
                <w:sz w:val="16"/>
              </w:rPr>
              <w:t>Nombre de cellules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0 25 105</w:t>
            </w:r>
          </w:p>
        </w:tc>
        <w:tc>
          <w:tcPr>
            <w:tcW w:type="dxa" w:w="3784"/>
          </w:tcPr>
          <w:p>
            <w:pPr>
              <w:spacing w:before="20" w:after="20"/>
            </w:pPr>
            <w:r/>
            <w:r>
              <w:rPr>
                <w:rFonts w:ascii="Verdana" w:hAnsi="Verdana"/>
                <w:b w:val="0"/>
                <w:sz w:val="16"/>
              </w:rPr>
              <w:t>Première cellule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0 25 106</w:t>
            </w:r>
          </w:p>
        </w:tc>
        <w:tc>
          <w:tcPr>
            <w:tcW w:type="dxa" w:w="3784"/>
          </w:tcPr>
          <w:p>
            <w:pPr>
              <w:spacing w:before="20" w:after="20"/>
            </w:pPr>
            <w:r/>
            <w:r>
              <w:rPr>
                <w:rFonts w:ascii="Verdana" w:hAnsi="Verdana"/>
                <w:b w:val="0"/>
                <w:sz w:val="16"/>
              </w:rPr>
              <w:t>Incrément de cellule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0 25 107</w:t>
            </w:r>
          </w:p>
        </w:tc>
        <w:tc>
          <w:tcPr>
            <w:tcW w:type="dxa" w:w="3784"/>
          </w:tcPr>
          <w:p>
            <w:pPr>
              <w:spacing w:before="20" w:after="20"/>
            </w:pPr>
            <w:r/>
            <w:r>
              <w:rPr>
                <w:rFonts w:ascii="Verdana" w:hAnsi="Verdana"/>
                <w:b w:val="0"/>
                <w:sz w:val="16"/>
              </w:rPr>
              <w:t>Première cellule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0 25 108</w:t>
            </w:r>
          </w:p>
        </w:tc>
        <w:tc>
          <w:tcPr>
            <w:tcW w:type="dxa" w:w="3784"/>
          </w:tcPr>
          <w:p>
            <w:pPr>
              <w:spacing w:before="20" w:after="20"/>
            </w:pPr>
            <w:r/>
            <w:r>
              <w:rPr>
                <w:rFonts w:ascii="Verdana" w:hAnsi="Verdana"/>
                <w:b w:val="0"/>
                <w:sz w:val="16"/>
              </w:rPr>
              <w:t>Dernière cellule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Angle d'incidence du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0 21 130</w:t>
            </w:r>
          </w:p>
        </w:tc>
        <w:tc>
          <w:tcPr>
            <w:tcW w:type="dxa" w:w="3784"/>
          </w:tcPr>
          <w:p>
            <w:pPr>
              <w:spacing w:before="20" w:after="20"/>
            </w:pPr>
            <w:r/>
            <w:r>
              <w:rPr>
                <w:rFonts w:ascii="Verdana" w:hAnsi="Verdana"/>
                <w:b w:val="0"/>
                <w:sz w:val="16"/>
              </w:rPr>
              <w:t>Énergie spectrale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0 21 131</w:t>
            </w:r>
          </w:p>
        </w:tc>
        <w:tc>
          <w:tcPr>
            <w:tcW w:type="dxa" w:w="3784"/>
          </w:tcPr>
          <w:p>
            <w:pPr>
              <w:spacing w:before="20" w:after="20"/>
            </w:pPr>
            <w:r/>
            <w:r>
              <w:rPr>
                <w:rFonts w:ascii="Verdana" w:hAnsi="Verdana"/>
                <w:b w:val="0"/>
                <w:sz w:val="16"/>
              </w:rPr>
              <w:t>Énergie spectrale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0 21 132</w:t>
            </w:r>
          </w:p>
        </w:tc>
        <w:tc>
          <w:tcPr>
            <w:tcW w:type="dxa" w:w="3784"/>
          </w:tcPr>
          <w:p>
            <w:pPr>
              <w:spacing w:before="20" w:after="20"/>
            </w:pPr>
            <w:r/>
            <w:r>
              <w:rPr>
                <w:rFonts w:ascii="Verdana" w:hAnsi="Verdana"/>
                <w:b w:val="0"/>
                <w:sz w:val="16"/>
              </w:rPr>
              <w:t>Direction de l'énergie spectrale maximale sur la grille de grande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0 21 133</w:t>
            </w:r>
          </w:p>
        </w:tc>
        <w:tc>
          <w:tcPr>
            <w:tcW w:type="dxa" w:w="3784"/>
          </w:tcPr>
          <w:p>
            <w:pPr>
              <w:spacing w:before="20" w:after="20"/>
            </w:pPr>
            <w:r/>
            <w:r>
              <w:rPr>
                <w:rFonts w:ascii="Verdana" w:hAnsi="Verdana"/>
                <w:b w:val="0"/>
                <w:sz w:val="16"/>
              </w:rPr>
              <w:t>Longueur d'onde de l'énergie spectrale maximale sur la grille de grande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Estimation des bruits parasites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Coupure azimutale due au fouillis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0 21 134</w:t>
            </w:r>
          </w:p>
        </w:tc>
        <w:tc>
          <w:tcPr>
            <w:tcW w:type="dxa" w:w="3784"/>
          </w:tcPr>
          <w:p>
            <w:pPr>
              <w:spacing w:before="20" w:after="20"/>
            </w:pPr>
            <w:r/>
            <w:r>
              <w:rPr>
                <w:rFonts w:ascii="Verdana" w:hAnsi="Verdana"/>
                <w:b w:val="0"/>
                <w:sz w:val="16"/>
              </w:rPr>
              <w:t>Pouvoir séparateur de l'interspectre de covariance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1 07 018</w:t>
            </w:r>
          </w:p>
        </w:tc>
        <w:tc>
          <w:tcPr>
            <w:tcW w:type="dxa" w:w="3784"/>
          </w:tcPr>
          <w:p>
            <w:pPr>
              <w:spacing w:before="20" w:after="20"/>
            </w:pPr>
            <w:r/>
            <w:r>
              <w:rPr>
                <w:rFonts w:ascii="Verdana" w:hAnsi="Verdana"/>
                <w:b w:val="0"/>
                <w:sz w:val="16"/>
              </w:rPr>
              <w:t>Répéter 7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1 05 024</w:t>
            </w:r>
          </w:p>
        </w:tc>
        <w:tc>
          <w:tcPr>
            <w:tcW w:type="dxa" w:w="3784"/>
          </w:tcPr>
          <w:p>
            <w:pPr>
              <w:spacing w:before="20" w:after="20"/>
            </w:pPr>
            <w:r/>
            <w:r>
              <w:rPr>
                <w:rFonts w:ascii="Verdana" w:hAnsi="Verdana"/>
                <w:b w:val="0"/>
                <w:sz w:val="16"/>
              </w:rPr>
              <w:t>Répéter 5 descripteurs 24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Numéro d'onde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0 21 135</w:t>
            </w:r>
          </w:p>
        </w:tc>
        <w:tc>
          <w:tcPr>
            <w:tcW w:type="dxa" w:w="3784"/>
          </w:tcPr>
          <w:p>
            <w:pPr>
              <w:spacing w:before="20" w:after="20"/>
            </w:pPr>
            <w:r/>
            <w:r>
              <w:rPr>
                <w:rFonts w:ascii="Verdana" w:hAnsi="Verdana"/>
                <w:b w:val="0"/>
                <w:sz w:val="16"/>
              </w:rPr>
              <w:t>Partie réelle de interspectres, en nombre de cellules de la grille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0 21 136</w:t>
            </w:r>
          </w:p>
        </w:tc>
        <w:tc>
          <w:tcPr>
            <w:tcW w:type="dxa" w:w="3784"/>
          </w:tcPr>
          <w:p>
            <w:pPr>
              <w:spacing w:before="20" w:after="20"/>
            </w:pPr>
            <w:r/>
            <w:r>
              <w:rPr>
                <w:rFonts w:ascii="Verdana" w:hAnsi="Verdana"/>
                <w:b w:val="0"/>
                <w:sz w:val="16"/>
              </w:rPr>
              <w:t>Partie imaginaire de interspectres, en nombre de cellules de la grille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0 33 044</w:t>
            </w:r>
          </w:p>
        </w:tc>
        <w:tc>
          <w:tcPr>
            <w:tcW w:type="dxa" w:w="3784"/>
          </w:tcPr>
          <w:p>
            <w:pPr>
              <w:spacing w:before="20" w:after="20"/>
            </w:pPr>
            <w:r/>
            <w:r>
              <w:rPr>
                <w:rFonts w:ascii="Verdana" w:hAnsi="Verdana"/>
                <w:b w:val="0"/>
                <w:sz w:val="16"/>
              </w:rPr>
              <w:t>Qualité des données de l'ASAR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12 052 (L'altimètre radar RA-2)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0 25 120</w:t>
            </w:r>
          </w:p>
        </w:tc>
        <w:tc>
          <w:tcPr>
            <w:tcW w:type="dxa" w:w="3784"/>
          </w:tcPr>
          <w:p>
            <w:pPr>
              <w:spacing w:before="20" w:after="20"/>
            </w:pPr>
            <w:r/>
            <w:r>
              <w:rPr>
                <w:rFonts w:ascii="Verdana" w:hAnsi="Verdana"/>
                <w:b w:val="0"/>
                <w:sz w:val="16"/>
              </w:rPr>
              <w:t>Indicateur de traitement de niveau 2 - données RA-2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0 25 121</w:t>
            </w:r>
          </w:p>
        </w:tc>
        <w:tc>
          <w:tcPr>
            <w:tcW w:type="dxa" w:w="3784"/>
          </w:tcPr>
          <w:p>
            <w:pPr>
              <w:spacing w:before="20" w:after="20"/>
            </w:pPr>
            <w:r/>
            <w:r>
              <w:rPr>
                <w:rFonts w:ascii="Verdana" w:hAnsi="Verdana"/>
                <w:b w:val="0"/>
                <w:sz w:val="16"/>
              </w:rPr>
              <w:t>Qualité du traitement de niveau 2 - données RA-2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0 25 124</w:t>
            </w:r>
          </w:p>
        </w:tc>
        <w:tc>
          <w:tcPr>
            <w:tcW w:type="dxa" w:w="3784"/>
          </w:tcPr>
          <w:p>
            <w:pPr>
              <w:spacing w:before="20" w:after="20"/>
            </w:pPr>
            <w:r/>
            <w:r>
              <w:rPr>
                <w:rFonts w:ascii="Verdana" w:hAnsi="Verdana"/>
                <w:b w:val="0"/>
                <w:sz w:val="16"/>
              </w:rPr>
              <w:t>Indicateur de traitement de niveau 2 - données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0 25 125</w:t>
            </w:r>
          </w:p>
        </w:tc>
        <w:tc>
          <w:tcPr>
            <w:tcW w:type="dxa" w:w="3784"/>
          </w:tcPr>
          <w:p>
            <w:pPr>
              <w:spacing w:before="20" w:after="20"/>
            </w:pPr>
            <w:r/>
            <w:r>
              <w:rPr>
                <w:rFonts w:ascii="Verdana" w:hAnsi="Verdana"/>
                <w:b w:val="0"/>
                <w:sz w:val="16"/>
              </w:rPr>
              <w:t>Qualité du traitement de niveau 2 - données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0 25 122</w:t>
            </w:r>
          </w:p>
        </w:tc>
        <w:tc>
          <w:tcPr>
            <w:tcW w:type="dxa" w:w="3784"/>
          </w:tcPr>
          <w:p>
            <w:pPr>
              <w:spacing w:before="20" w:after="20"/>
            </w:pPr>
            <w:r/>
            <w:r>
              <w:rPr>
                <w:rFonts w:ascii="Verdana" w:hAnsi="Verdana"/>
                <w:b w:val="0"/>
                <w:sz w:val="16"/>
              </w:rPr>
              <w:t>Configuration matérielle - radiofréquence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0 25 123</w:t>
            </w:r>
          </w:p>
        </w:tc>
        <w:tc>
          <w:tcPr>
            <w:tcW w:type="dxa" w:w="3784"/>
          </w:tcPr>
          <w:p>
            <w:pPr>
              <w:spacing w:before="20" w:after="20"/>
            </w:pPr>
            <w:r/>
            <w:r>
              <w:rPr>
                <w:rFonts w:ascii="Verdana" w:hAnsi="Verdana"/>
                <w:b w:val="0"/>
                <w:sz w:val="16"/>
              </w:rPr>
              <w:t>Configuration matérielle - amplificateur de grande puissance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0 02 119</w:t>
            </w:r>
          </w:p>
        </w:tc>
        <w:tc>
          <w:tcPr>
            <w:tcW w:type="dxa" w:w="3784"/>
          </w:tcPr>
          <w:p>
            <w:pPr>
              <w:spacing w:before="20" w:after="20"/>
            </w:pPr>
            <w:r/>
            <w:r>
              <w:rPr>
                <w:rFonts w:ascii="Verdana" w:hAnsi="Verdana"/>
                <w:b w:val="0"/>
                <w:sz w:val="16"/>
              </w:rPr>
              <w:t>Fonctionnement de l'instrument RA-2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0 33 047</w:t>
            </w:r>
          </w:p>
        </w:tc>
        <w:tc>
          <w:tcPr>
            <w:tcW w:type="dxa" w:w="3784"/>
          </w:tcPr>
          <w:p>
            <w:pPr>
              <w:spacing w:before="20" w:after="20"/>
            </w:pPr>
            <w:r/>
            <w:r>
              <w:rPr>
                <w:rFonts w:ascii="Verdana" w:hAnsi="Verdana"/>
                <w:b w:val="0"/>
                <w:sz w:val="16"/>
              </w:rPr>
              <w:t>Degré de confiance des mesures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Taux de variation d'altitude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Carré de l'angle de décalage du satellite par rapport au nadir, calculé à partir de l'assiette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0 10 084</w:t>
            </w:r>
          </w:p>
        </w:tc>
        <w:tc>
          <w:tcPr>
            <w:tcW w:type="dxa" w:w="3784"/>
          </w:tcPr>
          <w:p>
            <w:pPr>
              <w:spacing w:before="20" w:after="20"/>
            </w:pPr>
            <w:r/>
            <w:r>
              <w:rPr>
                <w:rFonts w:ascii="Verdana" w:hAnsi="Verdana"/>
                <w:b w:val="0"/>
                <w:sz w:val="16"/>
              </w:rPr>
              <w:t>Carré de l'angle de décalage du satellite par rapport au nadir, calculé à partir de la forme des ondes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0 02 116</w:t>
            </w:r>
          </w:p>
        </w:tc>
        <w:tc>
          <w:tcPr>
            <w:tcW w:type="dxa" w:w="3784"/>
          </w:tcPr>
          <w:p>
            <w:pPr>
              <w:spacing w:before="20" w:after="20"/>
            </w:pPr>
            <w:r/>
            <w:r>
              <w:rPr>
                <w:rFonts w:ascii="Verdana" w:hAnsi="Verdana"/>
                <w:b w:val="0"/>
                <w:sz w:val="16"/>
              </w:rPr>
              <w:t>Pourcentage de la bande 320 MHz traité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0 02 117</w:t>
            </w:r>
          </w:p>
        </w:tc>
        <w:tc>
          <w:tcPr>
            <w:tcW w:type="dxa" w:w="3784"/>
          </w:tcPr>
          <w:p>
            <w:pPr>
              <w:spacing w:before="20" w:after="20"/>
            </w:pPr>
            <w:r/>
            <w:r>
              <w:rPr>
                <w:rFonts w:ascii="Verdana" w:hAnsi="Verdana"/>
                <w:b w:val="0"/>
                <w:sz w:val="16"/>
              </w:rPr>
              <w:t>Pourcentage de la bande 80 MHz traité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0 02 118</w:t>
            </w:r>
          </w:p>
        </w:tc>
        <w:tc>
          <w:tcPr>
            <w:tcW w:type="dxa" w:w="3784"/>
          </w:tcPr>
          <w:p>
            <w:pPr>
              <w:spacing w:before="20" w:after="20"/>
            </w:pPr>
            <w:r/>
            <w:r>
              <w:rPr>
                <w:rFonts w:ascii="Verdana" w:hAnsi="Verdana"/>
                <w:b w:val="0"/>
                <w:sz w:val="16"/>
              </w:rPr>
              <w:t>Pourcentage de la bande 20 MHz traité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0 02 156</w:t>
            </w:r>
          </w:p>
        </w:tc>
        <w:tc>
          <w:tcPr>
            <w:tcW w:type="dxa" w:w="3784"/>
          </w:tcPr>
          <w:p>
            <w:pPr>
              <w:spacing w:before="20" w:after="20"/>
            </w:pPr>
            <w:r/>
            <w:r>
              <w:rPr>
                <w:rFonts w:ascii="Verdana" w:hAnsi="Verdana"/>
                <w:b w:val="0"/>
                <w:sz w:val="16"/>
              </w:rPr>
              <w:t>Pourcentage de mesures océaniques correctes après retraitement de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0 02 157</w:t>
            </w:r>
          </w:p>
        </w:tc>
        <w:tc>
          <w:tcPr>
            <w:tcW w:type="dxa" w:w="3784"/>
          </w:tcPr>
          <w:p>
            <w:pPr>
              <w:spacing w:before="20" w:after="20"/>
            </w:pPr>
            <w:r/>
            <w:r>
              <w:rPr>
                <w:rFonts w:ascii="Verdana" w:hAnsi="Verdana"/>
                <w:b w:val="0"/>
                <w:sz w:val="16"/>
              </w:rPr>
              <w:t>Pourcentage de mesures océaniques correctes après retraitement de la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0 14 055</w:t>
            </w:r>
          </w:p>
        </w:tc>
        <w:tc>
          <w:tcPr>
            <w:tcW w:type="dxa" w:w="3784"/>
          </w:tcPr>
          <w:p>
            <w:pPr>
              <w:spacing w:before="20" w:after="20"/>
            </w:pPr>
            <w:r/>
            <w:r>
              <w:rPr>
                <w:rFonts w:ascii="Verdana" w:hAnsi="Verdana"/>
                <w:b w:val="0"/>
                <w:sz w:val="16"/>
              </w:rPr>
              <w:t>Indice de l'activité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0 22 150</w:t>
            </w:r>
          </w:p>
        </w:tc>
        <w:tc>
          <w:tcPr>
            <w:tcW w:type="dxa" w:w="3784"/>
          </w:tcPr>
          <w:p>
            <w:pPr>
              <w:spacing w:before="20" w:after="20"/>
            </w:pPr>
            <w:r/>
            <w:r>
              <w:rPr>
                <w:rFonts w:ascii="Verdana" w:hAnsi="Verdana"/>
                <w:b w:val="0"/>
                <w:sz w:val="16"/>
              </w:rPr>
              <w:t>Nombre de points corrects à 18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Intervalle océanique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0 22 152</w:t>
            </w:r>
          </w:p>
        </w:tc>
        <w:tc>
          <w:tcPr>
            <w:tcW w:type="dxa" w:w="3784"/>
          </w:tcPr>
          <w:p>
            <w:pPr>
              <w:spacing w:before="20" w:after="20"/>
            </w:pPr>
            <w:r/>
            <w:r>
              <w:rPr>
                <w:rFonts w:ascii="Verdana" w:hAnsi="Verdana"/>
                <w:b w:val="0"/>
                <w:sz w:val="16"/>
              </w:rPr>
              <w:t>Intervalle océanique type à 18 Hz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0 22 153</w:t>
            </w:r>
          </w:p>
        </w:tc>
        <w:tc>
          <w:tcPr>
            <w:tcW w:type="dxa" w:w="3784"/>
          </w:tcPr>
          <w:p>
            <w:pPr>
              <w:spacing w:before="20" w:after="20"/>
            </w:pPr>
            <w:r/>
            <w:r>
              <w:rPr>
                <w:rFonts w:ascii="Verdana" w:hAnsi="Verdana"/>
                <w:b w:val="0"/>
                <w:sz w:val="16"/>
              </w:rPr>
              <w:t>Nombre de points corrects à 18 Hz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0 22 154</w:t>
            </w:r>
          </w:p>
        </w:tc>
        <w:tc>
          <w:tcPr>
            <w:tcW w:type="dxa" w:w="3784"/>
          </w:tcPr>
          <w:p>
            <w:pPr>
              <w:spacing w:before="20" w:after="20"/>
            </w:pPr>
            <w:r/>
            <w:r>
              <w:rPr>
                <w:rFonts w:ascii="Verdana" w:hAnsi="Verdana"/>
                <w:b w:val="0"/>
                <w:sz w:val="16"/>
              </w:rPr>
              <w:t>Intervalle océanique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0 22 155</w:t>
            </w:r>
          </w:p>
        </w:tc>
        <w:tc>
          <w:tcPr>
            <w:tcW w:type="dxa" w:w="3784"/>
          </w:tcPr>
          <w:p>
            <w:pPr>
              <w:spacing w:before="20" w:after="20"/>
            </w:pPr>
            <w:r/>
            <w:r>
              <w:rPr>
                <w:rFonts w:ascii="Verdana" w:hAnsi="Verdana"/>
                <w:b w:val="0"/>
                <w:sz w:val="16"/>
              </w:rPr>
              <w:t>Intervalle océanique type à 18 Hz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Hauteur significative des vagues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0 22 157</w:t>
            </w:r>
          </w:p>
        </w:tc>
        <w:tc>
          <w:tcPr>
            <w:tcW w:type="dxa" w:w="3784"/>
          </w:tcPr>
          <w:p>
            <w:pPr>
              <w:spacing w:before="20" w:after="20"/>
            </w:pPr>
            <w:r/>
            <w:r>
              <w:rPr>
                <w:rFonts w:ascii="Verdana" w:hAnsi="Verdana"/>
                <w:b w:val="0"/>
                <w:sz w:val="16"/>
              </w:rPr>
              <w:t>Intervalle océanique type à 18 Hz en bande Ku</w:t>
            </w:r>
          </w:p>
        </w:tc>
        <w:tc>
          <w:tcPr>
            <w:tcW w:type="dxa" w:w="3784"/>
          </w:tcPr>
          <w:p>
            <w:pPr>
              <w:spacing w:before="20" w:after="20"/>
            </w:pPr>
            <w:r/>
            <w:r>
              <w:rPr>
                <w:rFonts w:ascii="Verdana" w:hAnsi="Verdana"/>
                <w:b w:val="0"/>
                <w:sz w:val="16"/>
              </w:rPr>
              <w:t>Hauteur significative des vagues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0 22 158</w:t>
            </w:r>
          </w:p>
        </w:tc>
        <w:tc>
          <w:tcPr>
            <w:tcW w:type="dxa" w:w="3784"/>
          </w:tcPr>
          <w:p>
            <w:pPr>
              <w:spacing w:before="20" w:after="20"/>
            </w:pPr>
            <w:r/>
            <w:r>
              <w:rPr>
                <w:rFonts w:ascii="Verdana" w:hAnsi="Verdana"/>
                <w:b w:val="0"/>
                <w:sz w:val="16"/>
              </w:rPr>
              <w:t>Hauteur significative des vagues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0 22 159</w:t>
            </w:r>
          </w:p>
        </w:tc>
        <w:tc>
          <w:tcPr>
            <w:tcW w:type="dxa" w:w="3784"/>
          </w:tcPr>
          <w:p>
            <w:pPr>
              <w:spacing w:before="20" w:after="20"/>
            </w:pPr>
            <w:r/>
            <w:r>
              <w:rPr>
                <w:rFonts w:ascii="Verdana" w:hAnsi="Verdana"/>
                <w:b w:val="0"/>
                <w:sz w:val="16"/>
              </w:rPr>
              <w:t>Hauteur significative des vagues type à 18 Hz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Coefficient de rétrodiffusion corrigé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Coefficient de rétrodiffusion corrigé type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Correction finale de l'erreur instrumentale pour la commande automatique de gain dans la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0 21 140</w:t>
            </w:r>
          </w:p>
        </w:tc>
        <w:tc>
          <w:tcPr>
            <w:tcW w:type="dxa" w:w="3784"/>
          </w:tcPr>
          <w:p>
            <w:pPr>
              <w:spacing w:before="20" w:after="20"/>
            </w:pPr>
            <w:r/>
            <w:r>
              <w:rPr>
                <w:rFonts w:ascii="Verdana" w:hAnsi="Verdana"/>
                <w:b w:val="0"/>
                <w:sz w:val="16"/>
              </w:rPr>
              <w:t>Coefficient de rétrodiffusion corrigé pour l'océan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0 21 141</w:t>
            </w:r>
          </w:p>
        </w:tc>
        <w:tc>
          <w:tcPr>
            <w:tcW w:type="dxa" w:w="3784"/>
          </w:tcPr>
          <w:p>
            <w:pPr>
              <w:spacing w:before="20" w:after="20"/>
            </w:pPr>
            <w:r/>
            <w:r>
              <w:rPr>
                <w:rFonts w:ascii="Verdana" w:hAnsi="Verdana"/>
                <w:b w:val="0"/>
                <w:sz w:val="16"/>
              </w:rPr>
              <w:t>Coefficient de rétrodiffusion corrigé type pour l'océan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0 21 142</w:t>
            </w:r>
          </w:p>
        </w:tc>
        <w:tc>
          <w:tcPr>
            <w:tcW w:type="dxa" w:w="3784"/>
          </w:tcPr>
          <w:p>
            <w:pPr>
              <w:spacing w:before="20" w:after="20"/>
            </w:pPr>
            <w:r/>
            <w:r>
              <w:rPr>
                <w:rFonts w:ascii="Verdana" w:hAnsi="Verdana"/>
                <w:b w:val="0"/>
                <w:sz w:val="16"/>
              </w:rPr>
              <w:t>Correction finale de l'erreur instrumentale pour la commande automatique de gain dans la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Hauteur géocentrique totale de marée océanique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0 10 091</w:t>
            </w:r>
          </w:p>
        </w:tc>
        <w:tc>
          <w:tcPr>
            <w:tcW w:type="dxa" w:w="3784"/>
          </w:tcPr>
          <w:p>
            <w:pPr>
              <w:spacing w:before="20" w:after="20"/>
            </w:pPr>
            <w:r/>
            <w:r>
              <w:rPr>
                <w:rFonts w:ascii="Verdana" w:hAnsi="Verdana"/>
                <w:b w:val="0"/>
                <w:sz w:val="16"/>
              </w:rPr>
              <w:t>Hauteur de marée incluant l'effet de charge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0 25 129</w:t>
            </w:r>
          </w:p>
        </w:tc>
        <w:tc>
          <w:tcPr>
            <w:tcW w:type="dxa" w:w="3784"/>
          </w:tcPr>
          <w:p>
            <w:pPr>
              <w:spacing w:before="20" w:after="20"/>
            </w:pPr>
            <w:r/>
            <w:r>
              <w:rPr>
                <w:rFonts w:ascii="Verdana" w:hAnsi="Verdana"/>
                <w:b w:val="0"/>
                <w:sz w:val="16"/>
              </w:rPr>
              <w:t>Correction de troposphère humide - données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0 25 130</w:t>
            </w:r>
          </w:p>
        </w:tc>
        <w:tc>
          <w:tcPr>
            <w:tcW w:type="dxa" w:w="3784"/>
          </w:tcPr>
          <w:p>
            <w:pPr>
              <w:spacing w:before="20" w:after="20"/>
            </w:pPr>
            <w:r/>
            <w:r>
              <w:rPr>
                <w:rFonts w:ascii="Verdana" w:hAnsi="Verdana"/>
                <w:b w:val="0"/>
                <w:sz w:val="16"/>
              </w:rPr>
              <w:t>Correction ionosphérique - données RA-2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0 25 131</w:t>
            </w:r>
          </w:p>
        </w:tc>
        <w:tc>
          <w:tcPr>
            <w:tcW w:type="dxa" w:w="3784"/>
          </w:tcPr>
          <w:p>
            <w:pPr>
              <w:spacing w:before="20" w:after="20"/>
            </w:pPr>
            <w:r/>
            <w:r>
              <w:rPr>
                <w:rFonts w:ascii="Verdana" w:hAnsi="Verdana"/>
                <w:b w:val="0"/>
                <w:sz w:val="16"/>
              </w:rPr>
              <w:t>Correction ionosphérique - données Doris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Correction ionosphérique - modèle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Correction du biais d'état de la mer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0 25 134</w:t>
            </w:r>
          </w:p>
        </w:tc>
        <w:tc>
          <w:tcPr>
            <w:tcW w:type="dxa" w:w="3784"/>
          </w:tcPr>
          <w:p>
            <w:pPr>
              <w:spacing w:before="20" w:after="20"/>
            </w:pPr>
            <w:r/>
            <w:r>
              <w:rPr>
                <w:rFonts w:ascii="Verdana" w:hAnsi="Verdana"/>
                <w:b w:val="0"/>
                <w:sz w:val="16"/>
              </w:rPr>
              <w:t>Correction ionosphérique - données RA-2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0 25 135</w:t>
            </w:r>
          </w:p>
        </w:tc>
        <w:tc>
          <w:tcPr>
            <w:tcW w:type="dxa" w:w="3784"/>
          </w:tcPr>
          <w:p>
            <w:pPr>
              <w:spacing w:before="20" w:after="20"/>
            </w:pPr>
            <w:r/>
            <w:r>
              <w:rPr>
                <w:rFonts w:ascii="Verdana" w:hAnsi="Verdana"/>
                <w:b w:val="0"/>
                <w:sz w:val="16"/>
              </w:rPr>
              <w:t>Correction ionosphérique - données Doris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0 25 136</w:t>
            </w:r>
          </w:p>
        </w:tc>
        <w:tc>
          <w:tcPr>
            <w:tcW w:type="dxa" w:w="3784"/>
          </w:tcPr>
          <w:p>
            <w:pPr>
              <w:spacing w:before="20" w:after="20"/>
            </w:pPr>
            <w:r/>
            <w:r>
              <w:rPr>
                <w:rFonts w:ascii="Verdana" w:hAnsi="Verdana"/>
                <w:b w:val="0"/>
                <w:sz w:val="16"/>
              </w:rPr>
              <w:t>Correction ionosphérique - modèle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0 25 137</w:t>
            </w:r>
          </w:p>
        </w:tc>
        <w:tc>
          <w:tcPr>
            <w:tcW w:type="dxa" w:w="3784"/>
          </w:tcPr>
          <w:p>
            <w:pPr>
              <w:spacing w:before="20" w:after="20"/>
            </w:pPr>
            <w:r/>
            <w:r>
              <w:rPr>
                <w:rFonts w:ascii="Verdana" w:hAnsi="Verdana"/>
                <w:b w:val="0"/>
                <w:sz w:val="16"/>
              </w:rPr>
              <w:t>Correction du biais d'état de la mer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0 13 096</w:t>
            </w:r>
          </w:p>
        </w:tc>
        <w:tc>
          <w:tcPr>
            <w:tcW w:type="dxa" w:w="3784"/>
          </w:tcPr>
          <w:p>
            <w:pPr>
              <w:spacing w:before="20" w:after="20"/>
            </w:pPr>
            <w:r/>
            <w:r>
              <w:rPr>
                <w:rFonts w:ascii="Verdana" w:hAnsi="Verdana"/>
                <w:b w:val="0"/>
                <w:sz w:val="16"/>
              </w:rPr>
              <w:t>Teneur en vapeur d'eau - données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0 13 097</w:t>
            </w:r>
          </w:p>
        </w:tc>
        <w:tc>
          <w:tcPr>
            <w:tcW w:type="dxa" w:w="3784"/>
          </w:tcPr>
          <w:p>
            <w:pPr>
              <w:spacing w:before="20" w:after="20"/>
            </w:pPr>
            <w:r/>
            <w:r>
              <w:rPr>
                <w:rFonts w:ascii="Verdana" w:hAnsi="Verdana"/>
                <w:b w:val="0"/>
                <w:sz w:val="16"/>
              </w:rPr>
              <w:t>Teneur en eau liquide - données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Composante u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Composante v du vecteur vent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0 12 188</w:t>
            </w:r>
          </w:p>
        </w:tc>
        <w:tc>
          <w:tcPr>
            <w:tcW w:type="dxa" w:w="3784"/>
          </w:tcPr>
          <w:p>
            <w:pPr>
              <w:spacing w:before="20" w:after="20"/>
            </w:pPr>
            <w:r/>
            <w:r>
              <w:rPr>
                <w:rFonts w:ascii="Verdana" w:hAnsi="Verdana"/>
                <w:b w:val="0"/>
                <w:sz w:val="16"/>
              </w:rPr>
              <w:t>Température de luminance par interpolation - données MWR en bande 23,8 GHz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0 12 189</w:t>
            </w:r>
          </w:p>
        </w:tc>
        <w:tc>
          <w:tcPr>
            <w:tcW w:type="dxa" w:w="3784"/>
          </w:tcPr>
          <w:p>
            <w:pPr>
              <w:spacing w:before="20" w:after="20"/>
            </w:pPr>
            <w:r/>
            <w:r>
              <w:rPr>
                <w:rFonts w:ascii="Verdana" w:hAnsi="Verdana"/>
                <w:b w:val="0"/>
                <w:sz w:val="16"/>
              </w:rPr>
              <w:t>Température de luminance par interpolation - données MWR en bande 36,5 GHz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0 02 158</w:t>
            </w:r>
          </w:p>
        </w:tc>
        <w:tc>
          <w:tcPr>
            <w:tcW w:type="dxa" w:w="3784"/>
          </w:tcPr>
          <w:p>
            <w:pPr>
              <w:spacing w:before="20" w:after="20"/>
            </w:pPr>
            <w:r/>
            <w:r>
              <w:rPr>
                <w:rFonts w:ascii="Verdana" w:hAnsi="Verdana"/>
                <w:b w:val="0"/>
                <w:sz w:val="16"/>
              </w:rPr>
              <w:t>Instrument RA-2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0 02 159</w:t>
            </w:r>
          </w:p>
        </w:tc>
        <w:tc>
          <w:tcPr>
            <w:tcW w:type="dxa" w:w="3784"/>
          </w:tcPr>
          <w:p>
            <w:pPr>
              <w:spacing w:before="20" w:after="20"/>
            </w:pPr>
            <w:r/>
            <w:r>
              <w:rPr>
                <w:rFonts w:ascii="Verdana" w:hAnsi="Verdana"/>
                <w:b w:val="0"/>
                <w:sz w:val="16"/>
              </w:rPr>
              <w:t>Instrument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0 33 052</w:t>
            </w:r>
          </w:p>
        </w:tc>
        <w:tc>
          <w:tcPr>
            <w:tcW w:type="dxa" w:w="3784"/>
          </w:tcPr>
          <w:p>
            <w:pPr>
              <w:spacing w:before="20" w:after="20"/>
            </w:pPr>
            <w:r/>
            <w:r>
              <w:rPr>
                <w:rFonts w:ascii="Verdana" w:hAnsi="Verdana"/>
                <w:b w:val="0"/>
                <w:sz w:val="16"/>
              </w:rPr>
              <w:t>Qualité du retraitement des données océaniques en bande 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0 33 053</w:t>
            </w:r>
          </w:p>
        </w:tc>
        <w:tc>
          <w:tcPr>
            <w:tcW w:type="dxa" w:w="3784"/>
          </w:tcPr>
          <w:p>
            <w:pPr>
              <w:spacing w:before="20" w:after="20"/>
            </w:pPr>
            <w:r/>
            <w:r>
              <w:rPr>
                <w:rFonts w:ascii="Verdana" w:hAnsi="Verdana"/>
                <w:b w:val="0"/>
                <w:sz w:val="16"/>
              </w:rPr>
              <w:t>Qualité du retraitement des données océaniques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Atténuation par la pluie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Indicateur de pluie de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12 053 (Spectres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Mise à poste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mobile d'observation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0 10 032</w:t>
            </w:r>
          </w:p>
        </w:tc>
        <w:tc>
          <w:tcPr>
            <w:tcW w:type="dxa" w:w="3784"/>
          </w:tcPr>
          <w:p>
            <w:pPr>
              <w:spacing w:before="20" w:after="20"/>
            </w:pPr>
            <w:r/>
            <w:r>
              <w:rPr>
                <w:rFonts w:ascii="Verdana" w:hAnsi="Verdana"/>
                <w:b w:val="0"/>
                <w:sz w:val="16"/>
              </w:rPr>
              <w:t>Distance du satellite au centre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0 10 033</w:t>
            </w:r>
          </w:p>
        </w:tc>
        <w:tc>
          <w:tcPr>
            <w:tcW w:type="dxa" w:w="3784"/>
          </w:tcPr>
          <w:p>
            <w:pPr>
              <w:spacing w:before="20" w:after="20"/>
            </w:pPr>
            <w:r/>
            <w:r>
              <w:rPr>
                <w:rFonts w:ascii="Verdana" w:hAnsi="Verdana"/>
                <w:b w:val="0"/>
                <w:sz w:val="16"/>
              </w:rPr>
              <w:t>Altitude (de la plate-forme par rapport à l'ellipsoïde)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0 10 034</w:t>
            </w:r>
          </w:p>
        </w:tc>
        <w:tc>
          <w:tcPr>
            <w:tcW w:type="dxa" w:w="3784"/>
          </w:tcPr>
          <w:p>
            <w:pPr>
              <w:spacing w:before="20" w:after="20"/>
            </w:pPr>
            <w:r/>
            <w:r>
              <w:rPr>
                <w:rFonts w:ascii="Verdana" w:hAnsi="Verdana"/>
                <w:b w:val="0"/>
                <w:sz w:val="16"/>
              </w:rPr>
              <w:t>Rayon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Hauteur ou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0 25 110</w:t>
            </w:r>
          </w:p>
        </w:tc>
        <w:tc>
          <w:tcPr>
            <w:tcW w:type="dxa" w:w="3784"/>
          </w:tcPr>
          <w:p>
            <w:pPr>
              <w:spacing w:before="20" w:after="20"/>
            </w:pPr>
            <w:r/>
            <w:r>
              <w:rPr>
                <w:rFonts w:ascii="Verdana" w:hAnsi="Verdana"/>
                <w:b w:val="0"/>
                <w:sz w:val="16"/>
              </w:rPr>
              <w:t>Traitement de l'image en abrégé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0 25 111</w:t>
            </w:r>
          </w:p>
        </w:tc>
        <w:tc>
          <w:tcPr>
            <w:tcW w:type="dxa" w:w="3784"/>
          </w:tcPr>
          <w:p>
            <w:pPr>
              <w:spacing w:before="20" w:after="20"/>
            </w:pPr>
            <w:r/>
            <w:r>
              <w:rPr>
                <w:rFonts w:ascii="Verdana" w:hAnsi="Verdana"/>
                <w:b w:val="0"/>
                <w:sz w:val="16"/>
              </w:rPr>
              <w:t>Nombre de données manquantes à la réception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0 25 102</w:t>
            </w:r>
          </w:p>
        </w:tc>
        <w:tc>
          <w:tcPr>
            <w:tcW w:type="dxa" w:w="3784"/>
          </w:tcPr>
          <w:p>
            <w:pPr>
              <w:spacing w:before="20" w:after="20"/>
            </w:pPr>
            <w:r/>
            <w:r>
              <w:rPr>
                <w:rFonts w:ascii="Verdana" w:hAnsi="Verdana"/>
                <w:b w:val="0"/>
                <w:sz w:val="16"/>
              </w:rPr>
              <w:t>Nombre de lignes manquantes hors données manquantes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Polarisation de l'antenne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0 25 103</w:t>
            </w:r>
          </w:p>
        </w:tc>
        <w:tc>
          <w:tcPr>
            <w:tcW w:type="dxa" w:w="3784"/>
          </w:tcPr>
          <w:p>
            <w:pPr>
              <w:spacing w:before="20" w:after="20"/>
            </w:pPr>
            <w:r/>
            <w:r>
              <w:rPr>
                <w:rFonts w:ascii="Verdana" w:hAnsi="Verdana"/>
                <w:b w:val="0"/>
                <w:sz w:val="16"/>
              </w:rPr>
              <w:t>Nombre de cellules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0 25 104</w:t>
            </w:r>
          </w:p>
        </w:tc>
        <w:tc>
          <w:tcPr>
            <w:tcW w:type="dxa" w:w="3784"/>
          </w:tcPr>
          <w:p>
            <w:pPr>
              <w:spacing w:before="20" w:after="20"/>
            </w:pPr>
            <w:r/>
            <w:r>
              <w:rPr>
                <w:rFonts w:ascii="Verdana" w:hAnsi="Verdana"/>
                <w:b w:val="0"/>
                <w:sz w:val="16"/>
              </w:rPr>
              <w:t>Nombre de cellules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0 25 105</w:t>
            </w:r>
          </w:p>
        </w:tc>
        <w:tc>
          <w:tcPr>
            <w:tcW w:type="dxa" w:w="3784"/>
          </w:tcPr>
          <w:p>
            <w:pPr>
              <w:spacing w:before="20" w:after="20"/>
            </w:pPr>
            <w:r/>
            <w:r>
              <w:rPr>
                <w:rFonts w:ascii="Verdana" w:hAnsi="Verdana"/>
                <w:b w:val="0"/>
                <w:sz w:val="16"/>
              </w:rPr>
              <w:t>Première cellule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0 25 106</w:t>
            </w:r>
          </w:p>
        </w:tc>
        <w:tc>
          <w:tcPr>
            <w:tcW w:type="dxa" w:w="3784"/>
          </w:tcPr>
          <w:p>
            <w:pPr>
              <w:spacing w:before="20" w:after="20"/>
            </w:pPr>
            <w:r/>
            <w:r>
              <w:rPr>
                <w:rFonts w:ascii="Verdana" w:hAnsi="Verdana"/>
                <w:b w:val="0"/>
                <w:sz w:val="16"/>
              </w:rPr>
              <w:t>Incrément de cellule en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0 25 107</w:t>
            </w:r>
          </w:p>
        </w:tc>
        <w:tc>
          <w:tcPr>
            <w:tcW w:type="dxa" w:w="3784"/>
          </w:tcPr>
          <w:p>
            <w:pPr>
              <w:spacing w:before="20" w:after="20"/>
            </w:pPr>
            <w:r/>
            <w:r>
              <w:rPr>
                <w:rFonts w:ascii="Verdana" w:hAnsi="Verdana"/>
                <w:b w:val="0"/>
                <w:sz w:val="16"/>
              </w:rPr>
              <w:t>Première cellule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0 25 108</w:t>
            </w:r>
          </w:p>
        </w:tc>
        <w:tc>
          <w:tcPr>
            <w:tcW w:type="dxa" w:w="3784"/>
          </w:tcPr>
          <w:p>
            <w:pPr>
              <w:spacing w:before="20" w:after="20"/>
            </w:pPr>
            <w:r/>
            <w:r>
              <w:rPr>
                <w:rFonts w:ascii="Verdana" w:hAnsi="Verdana"/>
                <w:b w:val="0"/>
                <w:sz w:val="16"/>
              </w:rPr>
              <w:t>Dernière cellule en longueur d'onde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0 22 160</w:t>
            </w:r>
          </w:p>
        </w:tc>
        <w:tc>
          <w:tcPr>
            <w:tcW w:type="dxa" w:w="3784"/>
          </w:tcPr>
          <w:p>
            <w:pPr>
              <w:spacing w:before="20" w:after="20"/>
            </w:pPr>
            <w:r/>
            <w:r>
              <w:rPr>
                <w:rFonts w:ascii="Verdana" w:hAnsi="Verdana"/>
                <w:b w:val="0"/>
                <w:sz w:val="16"/>
              </w:rPr>
              <w:t>Age de vague inverse normalisé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0 25 138</w:t>
            </w:r>
          </w:p>
        </w:tc>
        <w:tc>
          <w:tcPr>
            <w:tcW w:type="dxa" w:w="3784"/>
          </w:tcPr>
          <w:p>
            <w:pPr>
              <w:spacing w:before="20" w:after="20"/>
            </w:pPr>
            <w:r/>
            <w:r>
              <w:rPr>
                <w:rFonts w:ascii="Verdana" w:hAnsi="Verdana"/>
                <w:b w:val="0"/>
                <w:sz w:val="16"/>
              </w:rPr>
              <w:t>Rapport signal-bruit moyen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Hauteur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0 33 048</w:t>
            </w:r>
          </w:p>
        </w:tc>
        <w:tc>
          <w:tcPr>
            <w:tcW w:type="dxa" w:w="3784"/>
          </w:tcPr>
          <w:p>
            <w:pPr>
              <w:spacing w:before="20" w:after="20"/>
            </w:pPr>
            <w:r/>
            <w:r>
              <w:rPr>
                <w:rFonts w:ascii="Verdana" w:hAnsi="Verdana"/>
                <w:b w:val="0"/>
                <w:sz w:val="16"/>
              </w:rPr>
              <w:t>Degré de confiance pour l'inversion SAR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0 33 049</w:t>
            </w:r>
          </w:p>
        </w:tc>
        <w:tc>
          <w:tcPr>
            <w:tcW w:type="dxa" w:w="3784"/>
          </w:tcPr>
          <w:p>
            <w:pPr>
              <w:spacing w:before="20" w:after="20"/>
            </w:pPr>
            <w:r/>
            <w:r>
              <w:rPr>
                <w:rFonts w:ascii="Verdana" w:hAnsi="Verdana"/>
                <w:b w:val="0"/>
                <w:sz w:val="16"/>
              </w:rPr>
              <w:t>Degré de confiance pour l'extraction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Résolution en travers de la trajectoire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Résolution dans le sens de la route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0 21 130</w:t>
            </w:r>
          </w:p>
        </w:tc>
        <w:tc>
          <w:tcPr>
            <w:tcW w:type="dxa" w:w="3784"/>
          </w:tcPr>
          <w:p>
            <w:pPr>
              <w:spacing w:before="20" w:after="20"/>
            </w:pPr>
            <w:r/>
            <w:r>
              <w:rPr>
                <w:rFonts w:ascii="Verdana" w:hAnsi="Verdana"/>
                <w:b w:val="0"/>
                <w:sz w:val="16"/>
              </w:rPr>
              <w:t>Énergie spectrale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0 21 131</w:t>
            </w:r>
          </w:p>
        </w:tc>
        <w:tc>
          <w:tcPr>
            <w:tcW w:type="dxa" w:w="3784"/>
          </w:tcPr>
          <w:p>
            <w:pPr>
              <w:spacing w:before="20" w:after="20"/>
            </w:pPr>
            <w:r/>
            <w:r>
              <w:rPr>
                <w:rFonts w:ascii="Verdana" w:hAnsi="Verdana"/>
                <w:b w:val="0"/>
                <w:sz w:val="16"/>
              </w:rPr>
              <w:t>Énergie spectrale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0 21 132</w:t>
            </w:r>
          </w:p>
        </w:tc>
        <w:tc>
          <w:tcPr>
            <w:tcW w:type="dxa" w:w="3784"/>
          </w:tcPr>
          <w:p>
            <w:pPr>
              <w:spacing w:before="20" w:after="20"/>
            </w:pPr>
            <w:r/>
            <w:r>
              <w:rPr>
                <w:rFonts w:ascii="Verdana" w:hAnsi="Verdana"/>
                <w:b w:val="0"/>
                <w:sz w:val="16"/>
              </w:rPr>
              <w:t>Direction de l'énergie spectrale maximale sur la grille de grande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0 21 133</w:t>
            </w:r>
          </w:p>
        </w:tc>
        <w:tc>
          <w:tcPr>
            <w:tcW w:type="dxa" w:w="3784"/>
          </w:tcPr>
          <w:p>
            <w:pPr>
              <w:spacing w:before="20" w:after="20"/>
            </w:pPr>
            <w:r/>
            <w:r>
              <w:rPr>
                <w:rFonts w:ascii="Verdana" w:hAnsi="Verdana"/>
                <w:b w:val="0"/>
                <w:sz w:val="16"/>
              </w:rPr>
              <w:t>Longueur d'onde de l'énergie spectrale maximale sur la grille de grande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Coupure azimutale due au fouillis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1 06 036</w:t>
            </w:r>
          </w:p>
        </w:tc>
        <w:tc>
          <w:tcPr>
            <w:tcW w:type="dxa" w:w="3784"/>
          </w:tcPr>
          <w:p>
            <w:pPr>
              <w:spacing w:before="20" w:after="20"/>
            </w:pPr>
            <w:r/>
            <w:r>
              <w:rPr>
                <w:rFonts w:ascii="Verdana" w:hAnsi="Verdana"/>
                <w:b w:val="0"/>
                <w:sz w:val="16"/>
              </w:rPr>
              <w:t>Répéter 6 descripteurs 36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1 04 024</w:t>
            </w:r>
          </w:p>
        </w:tc>
        <w:tc>
          <w:tcPr>
            <w:tcW w:type="dxa" w:w="3784"/>
          </w:tcPr>
          <w:p>
            <w:pPr>
              <w:spacing w:before="20" w:after="20"/>
            </w:pPr>
            <w:r/>
            <w:r>
              <w:rPr>
                <w:rFonts w:ascii="Verdana" w:hAnsi="Verdana"/>
                <w:b w:val="0"/>
                <w:sz w:val="16"/>
              </w:rPr>
              <w:t>Répéter 4 descripteurs 24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Numéro d'onde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Spectres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0 33 044</w:t>
            </w:r>
          </w:p>
        </w:tc>
        <w:tc>
          <w:tcPr>
            <w:tcW w:type="dxa" w:w="3784"/>
          </w:tcPr>
          <w:p>
            <w:pPr>
              <w:spacing w:before="20" w:after="20"/>
            </w:pPr>
            <w:r/>
            <w:r>
              <w:rPr>
                <w:rFonts w:ascii="Verdana" w:hAnsi="Verdana"/>
                <w:b w:val="0"/>
                <w:sz w:val="16"/>
              </w:rPr>
              <w:t>Qualité des données de l'ASAR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12 055 (Cellule ASCAT niveau 1b)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0 05 033</w:t>
            </w:r>
          </w:p>
        </w:tc>
        <w:tc>
          <w:tcPr>
            <w:tcW w:type="dxa" w:w="3784"/>
          </w:tcPr>
          <w:p>
            <w:pPr>
              <w:spacing w:before="20" w:after="20"/>
            </w:pPr>
            <w:r/>
            <w:r>
              <w:rPr>
                <w:rFonts w:ascii="Verdana" w:hAnsi="Verdana"/>
                <w:b w:val="0"/>
                <w:sz w:val="16"/>
              </w:rPr>
              <w:t>Taille des pixels sur l'horizontale - 1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Numéro de cellule dans le plan transversal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0 10 095</w:t>
            </w:r>
          </w:p>
        </w:tc>
        <w:tc>
          <w:tcPr>
            <w:tcW w:type="dxa" w:w="3784"/>
          </w:tcPr>
          <w:p>
            <w:pPr>
              <w:spacing w:before="20" w:after="20"/>
            </w:pPr>
            <w:r/>
            <w:r>
              <w:rPr>
                <w:rFonts w:ascii="Verdana" w:hAnsi="Verdana"/>
                <w:b w:val="0"/>
                <w:sz w:val="16"/>
              </w:rPr>
              <w:t>Hauteur utilisée pour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0 21 157</w:t>
            </w:r>
          </w:p>
        </w:tc>
        <w:tc>
          <w:tcPr>
            <w:tcW w:type="dxa" w:w="3784"/>
          </w:tcPr>
          <w:p>
            <w:pPr>
              <w:spacing w:before="20" w:after="20"/>
            </w:pPr>
            <w:r/>
            <w:r>
              <w:rPr>
                <w:rFonts w:ascii="Verdana" w:hAnsi="Verdana"/>
                <w:b w:val="0"/>
                <w:sz w:val="16"/>
              </w:rPr>
              <w:t>Perte par unité de longueur utilisée pour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12 056 (Données sur le vent fournies par le diffusiomètre pour la cellule)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Vitesse du vent à 10 m donnée par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Direction du vent à 10 m donnée par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0 20 095</w:t>
            </w:r>
          </w:p>
        </w:tc>
        <w:tc>
          <w:tcPr>
            <w:tcW w:type="dxa" w:w="3784"/>
          </w:tcPr>
          <w:p>
            <w:pPr>
              <w:spacing w:before="20" w:after="20"/>
            </w:pPr>
            <w:r/>
            <w:r>
              <w:rPr>
                <w:rFonts w:ascii="Verdana" w:hAnsi="Verdana"/>
                <w:b w:val="0"/>
                <w:sz w:val="16"/>
              </w:rPr>
              <w:t>Probabilité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0 20 096</w:t>
            </w:r>
          </w:p>
        </w:tc>
        <w:tc>
          <w:tcPr>
            <w:tcW w:type="dxa" w:w="3784"/>
          </w:tcPr>
          <w:p>
            <w:pPr>
              <w:spacing w:before="20" w:after="20"/>
            </w:pPr>
            <w:r/>
            <w:r>
              <w:rPr>
                <w:rFonts w:ascii="Verdana" w:hAnsi="Verdana"/>
                <w:b w:val="0"/>
                <w:sz w:val="16"/>
              </w:rPr>
              <w:t>Âge de la glace (paramètre 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0 21 155</w:t>
            </w:r>
          </w:p>
        </w:tc>
        <w:tc>
          <w:tcPr>
            <w:tcW w:type="dxa" w:w="3784"/>
          </w:tcPr>
          <w:p>
            <w:pPr>
              <w:spacing w:before="20" w:after="20"/>
            </w:pPr>
            <w:r/>
            <w:r>
              <w:rPr>
                <w:rFonts w:ascii="Verdana" w:hAnsi="Verdana"/>
                <w:b w:val="0"/>
                <w:sz w:val="16"/>
              </w:rPr>
              <w:t>Qualité du vecteur vent dans la cellule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 de 5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Nombre d'ambiguïtés vectorielles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Indice du vecteur vent retenu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12 057 (Données ambiguës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 de 2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Augmenter l'échelle de 10¹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Augmenter le champ de données de 3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Augmenter l'échelle de 10¹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0 21 156</w:t>
            </w:r>
          </w:p>
        </w:tc>
        <w:tc>
          <w:tcPr>
            <w:tcW w:type="dxa" w:w="3784"/>
          </w:tcPr>
          <w:p>
            <w:pPr>
              <w:spacing w:before="20" w:after="20"/>
            </w:pPr>
            <w:r/>
            <w:r>
              <w:rPr>
                <w:rFonts w:ascii="Verdana" w:hAnsi="Verdana"/>
                <w:b w:val="0"/>
                <w:sz w:val="16"/>
              </w:rPr>
              <w:t>Distance de rétrodiffusion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0 21 104</w:t>
            </w:r>
          </w:p>
        </w:tc>
        <w:tc>
          <w:tcPr>
            <w:tcW w:type="dxa" w:w="3784"/>
          </w:tcPr>
          <w:p>
            <w:pPr>
              <w:spacing w:before="20" w:after="20"/>
            </w:pPr>
            <w:r/>
            <w:r>
              <w:rPr>
                <w:rFonts w:ascii="Verdana" w:hAnsi="Verdana"/>
                <w:b w:val="0"/>
                <w:sz w:val="16"/>
              </w:rPr>
              <w:t>Vraisemblance calculée pour la solution obtenue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12 058 (Données ASCAT de niveau 1b)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3 01 125</w:t>
            </w:r>
          </w:p>
        </w:tc>
        <w:tc>
          <w:tcPr>
            <w:tcW w:type="dxa" w:w="3784"/>
          </w:tcPr>
          <w:p>
            <w:pPr>
              <w:spacing w:before="20" w:after="20"/>
            </w:pPr>
            <w:r/>
            <w:r>
              <w:rPr>
                <w:rFonts w:ascii="Verdana" w:hAnsi="Verdana"/>
                <w:b w:val="0"/>
                <w:sz w:val="16"/>
              </w:rPr>
              <w:t>En-tête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3 12 055</w:t>
            </w:r>
          </w:p>
        </w:tc>
        <w:tc>
          <w:tcPr>
            <w:tcW w:type="dxa" w:w="3784"/>
          </w:tcPr>
          <w:p>
            <w:pPr>
              <w:spacing w:before="20" w:after="20"/>
            </w:pPr>
            <w:r/>
            <w:r>
              <w:rPr>
                <w:rFonts w:ascii="Verdana" w:hAnsi="Verdana"/>
                <w:b w:val="0"/>
                <w:sz w:val="16"/>
              </w:rPr>
              <w:t>Cellule ASCAT niveau 1b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0 21 150</w:t>
            </w:r>
          </w:p>
        </w:tc>
        <w:tc>
          <w:tcPr>
            <w:tcW w:type="dxa" w:w="3784"/>
          </w:tcPr>
          <w:p>
            <w:pPr>
              <w:spacing w:before="20" w:after="20"/>
            </w:pPr>
            <w:r/>
            <w:r>
              <w:rPr>
                <w:rFonts w:ascii="Verdana" w:hAnsi="Verdana"/>
                <w:b w:val="0"/>
                <w:sz w:val="16"/>
              </w:rPr>
              <w:t>Recoupement de faisceaux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3 21 030</w:t>
            </w:r>
          </w:p>
        </w:tc>
        <w:tc>
          <w:tcPr>
            <w:tcW w:type="dxa" w:w="3784"/>
          </w:tcPr>
          <w:p>
            <w:pPr>
              <w:spacing w:before="20" w:after="20"/>
            </w:pPr>
            <w:r/>
            <w:r>
              <w:rPr>
                <w:rFonts w:ascii="Verdana" w:hAnsi="Verdana"/>
                <w:b w:val="0"/>
                <w:sz w:val="16"/>
              </w:rPr>
              <w:t>Sigma-0 ASCAT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12 059 (Données du diffusiomètre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3 12 056</w:t>
            </w:r>
          </w:p>
        </w:tc>
        <w:tc>
          <w:tcPr>
            <w:tcW w:type="dxa" w:w="3784"/>
          </w:tcPr>
          <w:p>
            <w:pPr>
              <w:spacing w:before="20" w:after="20"/>
            </w:pPr>
            <w:r/>
            <w:r>
              <w:rPr>
                <w:rFonts w:ascii="Verdana" w:hAnsi="Verdana"/>
                <w:b w:val="0"/>
                <w:sz w:val="16"/>
              </w:rPr>
              <w:t>Données sur le vent fournies par le diffusiomètre pour la cellule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3 12 057</w:t>
            </w:r>
          </w:p>
        </w:tc>
        <w:tc>
          <w:tcPr>
            <w:tcW w:type="dxa" w:w="3784"/>
          </w:tcPr>
          <w:p>
            <w:pPr>
              <w:spacing w:before="20" w:after="20"/>
            </w:pPr>
            <w:r/>
            <w:r>
              <w:rPr>
                <w:rFonts w:ascii="Verdana" w:hAnsi="Verdana"/>
                <w:b w:val="0"/>
                <w:sz w:val="16"/>
              </w:rPr>
              <w:t>Données ambiguës sur le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12 060 (Données du diffusiomètre sur l'humidité du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Identification du logiciel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Identification de la base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0 40 001</w:t>
            </w:r>
          </w:p>
        </w:tc>
        <w:tc>
          <w:tcPr>
            <w:tcW w:type="dxa" w:w="3784"/>
          </w:tcPr>
          <w:p>
            <w:pPr>
              <w:spacing w:before="20" w:after="20"/>
            </w:pPr>
            <w:r/>
            <w:r>
              <w:rPr>
                <w:rFonts w:ascii="Verdana" w:hAnsi="Verdana"/>
                <w:b w:val="0"/>
                <w:sz w:val="16"/>
              </w:rPr>
              <w:t>Humidité du sol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0 40 002</w:t>
            </w:r>
          </w:p>
        </w:tc>
        <w:tc>
          <w:tcPr>
            <w:tcW w:type="dxa" w:w="3784"/>
          </w:tcPr>
          <w:p>
            <w:pPr>
              <w:spacing w:before="20" w:after="20"/>
            </w:pPr>
            <w:r/>
            <w:r>
              <w:rPr>
                <w:rFonts w:ascii="Verdana" w:hAnsi="Verdana"/>
                <w:b w:val="0"/>
                <w:sz w:val="16"/>
              </w:rPr>
              <w:t>Erreur estimative de l'humidité du sol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t>Extrapolation de la rétrodiffusion à une incidence de 40° (sigma-0_40)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0 21 151</w:t>
            </w:r>
          </w:p>
        </w:tc>
        <w:tc>
          <w:tcPr>
            <w:tcW w:type="dxa" w:w="3784"/>
          </w:tcPr>
          <w:p>
            <w:pPr>
              <w:spacing w:before="20" w:after="20"/>
            </w:pPr>
            <w:r/>
            <w:r>
              <w:rPr>
                <w:rFonts w:ascii="Verdana" w:hAnsi="Verdana"/>
                <w:b w:val="0"/>
                <w:sz w:val="16"/>
              </w:rPr>
              <w:t>Erreur estimative de Sigma-0 à une incidence de 40°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0 21 152</w:t>
            </w:r>
          </w:p>
        </w:tc>
        <w:tc>
          <w:tcPr>
            <w:tcW w:type="dxa" w:w="3784"/>
          </w:tcPr>
          <w:p>
            <w:pPr>
              <w:spacing w:before="20" w:after="20"/>
            </w:pPr>
            <w:r/>
            <w:r>
              <w:rPr>
                <w:rFonts w:ascii="Verdana" w:hAnsi="Verdana"/>
                <w:b w:val="0"/>
                <w:sz w:val="16"/>
              </w:rPr>
              <w:t>Pente à une incidence de 40°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0 21 153</w:t>
            </w:r>
          </w:p>
        </w:tc>
        <w:tc>
          <w:tcPr>
            <w:tcW w:type="dxa" w:w="3784"/>
          </w:tcPr>
          <w:p>
            <w:pPr>
              <w:spacing w:before="20" w:after="20"/>
            </w:pPr>
            <w:r/>
            <w:r>
              <w:rPr>
                <w:rFonts w:ascii="Verdana" w:hAnsi="Verdana"/>
                <w:b w:val="0"/>
                <w:sz w:val="16"/>
              </w:rPr>
              <w:t>Erreur estimative de la pente à une incidence de 40°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0 21 154</w:t>
            </w:r>
          </w:p>
        </w:tc>
        <w:tc>
          <w:tcPr>
            <w:tcW w:type="dxa" w:w="3784"/>
          </w:tcPr>
          <w:p>
            <w:pPr>
              <w:spacing w:before="20" w:after="20"/>
            </w:pPr>
            <w:r/>
            <w:r>
              <w:rPr>
                <w:rFonts w:ascii="Verdana" w:hAnsi="Verdana"/>
                <w:b w:val="0"/>
                <w:sz w:val="16"/>
              </w:rPr>
              <w:t>Sensibilité à l'humidité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Rétrodiffusion</w:t>
            </w:r>
          </w:p>
        </w:tc>
        <w:tc>
          <w:tcPr>
            <w:tcW w:type="dxa" w:w="3784"/>
          </w:tcPr>
          <w:p>
            <w:pPr>
              <w:spacing w:before="20" w:after="20"/>
            </w:pPr>
            <w:r/>
            <w:r>
              <w:rPr>
                <w:rFonts w:ascii="Verdana" w:hAnsi="Verdana"/>
                <w:b w:val="0"/>
                <w:sz w:val="16"/>
              </w:rPr>
              <w:t>Conditions sèches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0 21 088</w:t>
            </w:r>
          </w:p>
        </w:tc>
        <w:tc>
          <w:tcPr>
            <w:tcW w:type="dxa" w:w="3784"/>
          </w:tcPr>
          <w:p>
            <w:pPr>
              <w:spacing w:before="20" w:after="20"/>
            </w:pPr>
            <w:r/>
            <w:r>
              <w:rPr>
                <w:rFonts w:ascii="Verdana" w:hAnsi="Verdana"/>
                <w:b w:val="0"/>
                <w:sz w:val="16"/>
              </w:rPr>
              <w:t>Rétrodiffusion, conditions humides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0 40 003</w:t>
            </w:r>
          </w:p>
        </w:tc>
        <w:tc>
          <w:tcPr>
            <w:tcW w:type="dxa" w:w="3784"/>
          </w:tcPr>
          <w:p>
            <w:pPr>
              <w:spacing w:before="20" w:after="20"/>
            </w:pPr>
            <w:r/>
            <w:r>
              <w:rPr>
                <w:rFonts w:ascii="Verdana" w:hAnsi="Verdana"/>
                <w:b w:val="0"/>
                <w:sz w:val="16"/>
              </w:rPr>
              <w:t>Humidité moyenne du sol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0 40 004</w:t>
            </w:r>
          </w:p>
        </w:tc>
        <w:tc>
          <w:tcPr>
            <w:tcW w:type="dxa" w:w="3784"/>
          </w:tcPr>
          <w:p>
            <w:pPr>
              <w:spacing w:before="20" w:after="20"/>
            </w:pPr>
            <w:r/>
            <w:r>
              <w:rPr>
                <w:rFonts w:ascii="Verdana" w:hAnsi="Verdana"/>
                <w:b w:val="0"/>
                <w:sz w:val="16"/>
              </w:rPr>
              <w:t>Détection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0 40 005</w:t>
            </w:r>
          </w:p>
        </w:tc>
        <w:tc>
          <w:tcPr>
            <w:tcW w:type="dxa" w:w="3784"/>
          </w:tcPr>
          <w:p>
            <w:pPr>
              <w:spacing w:before="20" w:after="20"/>
            </w:pPr>
            <w:r/>
            <w:r>
              <w:rPr>
                <w:rFonts w:ascii="Verdana" w:hAnsi="Verdana"/>
                <w:b w:val="0"/>
                <w:sz w:val="16"/>
              </w:rPr>
              <w:t>Indicateur de correction de l'humidité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0 40 006</w:t>
            </w:r>
          </w:p>
        </w:tc>
        <w:tc>
          <w:tcPr>
            <w:tcW w:type="dxa" w:w="3784"/>
          </w:tcPr>
          <w:p>
            <w:pPr>
              <w:spacing w:before="20" w:after="20"/>
            </w:pPr>
            <w:r/>
            <w:r>
              <w:rPr>
                <w:rFonts w:ascii="Verdana" w:hAnsi="Verdana"/>
                <w:b w:val="0"/>
                <w:sz w:val="16"/>
              </w:rPr>
              <w:t>Indicateur de traitement de l'humidité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0 40 007</w:t>
            </w:r>
          </w:p>
        </w:tc>
        <w:tc>
          <w:tcPr>
            <w:tcW w:type="dxa" w:w="3784"/>
          </w:tcPr>
          <w:p>
            <w:pPr>
              <w:spacing w:before="20" w:after="20"/>
            </w:pPr>
            <w:r/>
            <w:r>
              <w:rPr>
                <w:rFonts w:ascii="Verdana" w:hAnsi="Verdana"/>
                <w:b w:val="0"/>
                <w:sz w:val="16"/>
              </w:rPr>
              <w:t>Qualité de l'humidité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Couverture neigeuse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0 40 008</w:t>
            </w:r>
          </w:p>
        </w:tc>
        <w:tc>
          <w:tcPr>
            <w:tcW w:type="dxa" w:w="3784"/>
          </w:tcPr>
          <w:p>
            <w:pPr>
              <w:spacing w:before="20" w:after="20"/>
            </w:pPr>
            <w:r/>
            <w:r>
              <w:rPr>
                <w:rFonts w:ascii="Verdana" w:hAnsi="Verdana"/>
                <w:b w:val="0"/>
                <w:sz w:val="16"/>
              </w:rPr>
              <w:t>Fraction gelée de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0 40 009</w:t>
            </w:r>
          </w:p>
        </w:tc>
        <w:tc>
          <w:tcPr>
            <w:tcW w:type="dxa" w:w="3784"/>
          </w:tcPr>
          <w:p>
            <w:pPr>
              <w:spacing w:before="20" w:after="20"/>
            </w:pPr>
            <w:r/>
            <w:r>
              <w:rPr>
                <w:rFonts w:ascii="Verdana" w:hAnsi="Verdana"/>
                <w:b w:val="0"/>
                <w:sz w:val="16"/>
              </w:rPr>
              <w:t>Fraction des zones humides et inondées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0 40 010</w:t>
            </w:r>
          </w:p>
        </w:tc>
        <w:tc>
          <w:tcPr>
            <w:tcW w:type="dxa" w:w="3784"/>
          </w:tcPr>
          <w:p>
            <w:pPr>
              <w:spacing w:before="20" w:after="20"/>
            </w:pPr>
            <w:r/>
            <w:r>
              <w:rPr>
                <w:rFonts w:ascii="Verdana" w:hAnsi="Verdana"/>
                <w:b w:val="0"/>
                <w:sz w:val="16"/>
              </w:rPr>
              <w:t>Complexité topographique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12 061 (Données ASCAT de niveau 1b et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3 12 058</w:t>
            </w:r>
          </w:p>
        </w:tc>
        <w:tc>
          <w:tcPr>
            <w:tcW w:type="dxa" w:w="3784"/>
          </w:tcPr>
          <w:p>
            <w:pPr>
              <w:spacing w:before="20" w:after="20"/>
            </w:pPr>
            <w:r/>
            <w:r>
              <w:rPr>
                <w:rFonts w:ascii="Verdana" w:hAnsi="Verdana"/>
                <w:b w:val="0"/>
                <w:sz w:val="16"/>
              </w:rPr>
              <w:t>Données ASCAT de niveau 1b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3 12 060</w:t>
            </w:r>
          </w:p>
        </w:tc>
        <w:tc>
          <w:tcPr>
            <w:tcW w:type="dxa" w:w="3784"/>
          </w:tcPr>
          <w:p>
            <w:pPr>
              <w:spacing w:before="20" w:after="20"/>
            </w:pPr>
            <w:r/>
            <w:r>
              <w:rPr>
                <w:rFonts w:ascii="Verdana" w:hAnsi="Verdana"/>
                <w:b w:val="0"/>
                <w:sz w:val="16"/>
              </w:rPr>
              <w:t>Données du diffusiomètre sur l'humidité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3 12 059</w:t>
            </w:r>
          </w:p>
        </w:tc>
        <w:tc>
          <w:tcPr>
            <w:tcW w:type="dxa" w:w="3784"/>
          </w:tcPr>
          <w:p>
            <w:pPr>
              <w:spacing w:before="20" w:after="20"/>
            </w:pPr>
            <w:r/>
            <w:r>
              <w:rPr>
                <w:rFonts w:ascii="Verdana" w:hAnsi="Verdana"/>
                <w:b w:val="0"/>
                <w:sz w:val="16"/>
              </w:rPr>
              <w:t>Données du diffusiomètre sur le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12 070 (Données SMOS)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0 01 144</w:t>
            </w:r>
          </w:p>
        </w:tc>
        <w:tc>
          <w:tcPr>
            <w:tcW w:type="dxa" w:w="3784"/>
          </w:tcPr>
          <w:p>
            <w:pPr>
              <w:spacing w:before="20" w:after="20"/>
            </w:pPr>
            <w:r/>
            <w:r>
              <w:rPr>
                <w:rFonts w:ascii="Verdana" w:hAnsi="Verdana"/>
                <w:b w:val="0"/>
                <w:sz w:val="16"/>
              </w:rPr>
              <w:t>Indicateur d'identification de l'instantané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Indicateur d'identification des points de grille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0 30 010</w:t>
            </w:r>
          </w:p>
        </w:tc>
        <w:tc>
          <w:tcPr>
            <w:tcW w:type="dxa" w:w="3784"/>
          </w:tcPr>
          <w:p>
            <w:pPr>
              <w:spacing w:before="20" w:after="20"/>
            </w:pPr>
            <w:r/>
            <w:r>
              <w:rPr>
                <w:rFonts w:ascii="Verdana" w:hAnsi="Verdana"/>
                <w:b w:val="0"/>
                <w:sz w:val="16"/>
              </w:rPr>
              <w:t>Nombre de points de grille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Heure, minute, 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0 07 012</w:t>
            </w:r>
          </w:p>
        </w:tc>
        <w:tc>
          <w:tcPr>
            <w:tcW w:type="dxa" w:w="3784"/>
          </w:tcPr>
          <w:p>
            <w:pPr>
              <w:spacing w:before="20" w:after="20"/>
            </w:pPr>
            <w:r/>
            <w:r>
              <w:rPr>
                <w:rFonts w:ascii="Verdana" w:hAnsi="Verdana"/>
                <w:b w:val="0"/>
                <w:sz w:val="16"/>
              </w:rPr>
              <w:t>Altitude des points de grille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0 15 012</w:t>
            </w:r>
          </w:p>
        </w:tc>
        <w:tc>
          <w:tcPr>
            <w:tcW w:type="dxa" w:w="3784"/>
          </w:tcPr>
          <w:p>
            <w:pPr>
              <w:spacing w:before="20" w:after="20"/>
            </w:pPr>
            <w:r/>
            <w:r>
              <w:rPr>
                <w:rFonts w:ascii="Verdana" w:hAnsi="Verdana"/>
                <w:b w:val="0"/>
                <w:sz w:val="16"/>
              </w:rPr>
              <w:t>Nombre total d'électrons par mètre carré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0 12 165</w:t>
            </w:r>
          </w:p>
        </w:tc>
        <w:tc>
          <w:tcPr>
            <w:tcW w:type="dxa" w:w="3784"/>
          </w:tcPr>
          <w:p>
            <w:pPr>
              <w:spacing w:before="20" w:after="20"/>
            </w:pPr>
            <w:r/>
            <w:r>
              <w:rPr>
                <w:rFonts w:ascii="Verdana" w:hAnsi="Verdana"/>
                <w:b w:val="0"/>
                <w:sz w:val="16"/>
              </w:rPr>
              <w:t>Température de luminance du rayonnement solaire direct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0 12 166</w:t>
            </w:r>
          </w:p>
        </w:tc>
        <w:tc>
          <w:tcPr>
            <w:tcW w:type="dxa" w:w="3784"/>
          </w:tcPr>
          <w:p>
            <w:pPr>
              <w:spacing w:before="20" w:after="20"/>
            </w:pPr>
            <w:r/>
            <w:r>
              <w:rPr>
                <w:rFonts w:ascii="Verdana" w:hAnsi="Verdana"/>
                <w:b w:val="0"/>
                <w:sz w:val="16"/>
              </w:rPr>
              <w:t>Précision de l'instantané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0 12 167</w:t>
            </w:r>
          </w:p>
        </w:tc>
        <w:tc>
          <w:tcPr>
            <w:tcW w:type="dxa" w:w="3784"/>
          </w:tcPr>
          <w:p>
            <w:pPr>
              <w:spacing w:before="20" w:after="20"/>
            </w:pPr>
            <w:r/>
            <w:r>
              <w:rPr>
                <w:rFonts w:ascii="Verdana" w:hAnsi="Verdana"/>
                <w:b w:val="0"/>
                <w:sz w:val="16"/>
              </w:rPr>
              <w:t>Précision radiométrique (polarisation pure)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0 12 168</w:t>
            </w:r>
          </w:p>
        </w:tc>
        <w:tc>
          <w:tcPr>
            <w:tcW w:type="dxa" w:w="3784"/>
          </w:tcPr>
          <w:p>
            <w:pPr>
              <w:spacing w:before="20" w:after="20"/>
            </w:pPr>
            <w:r/>
            <w:r>
              <w:rPr>
                <w:rFonts w:ascii="Verdana" w:hAnsi="Verdana"/>
                <w:b w:val="0"/>
                <w:sz w:val="16"/>
              </w:rPr>
              <w:t>Précision radiométrique (polarisation croisée)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0 27 010</w:t>
            </w:r>
          </w:p>
        </w:tc>
        <w:tc>
          <w:tcPr>
            <w:tcW w:type="dxa" w:w="3784"/>
          </w:tcPr>
          <w:p>
            <w:pPr>
              <w:spacing w:before="20" w:after="20"/>
            </w:pPr>
            <w:r/>
            <w:r>
              <w:rPr>
                <w:rFonts w:ascii="Verdana" w:hAnsi="Verdana"/>
                <w:b w:val="0"/>
                <w:sz w:val="16"/>
              </w:rPr>
              <w:t>Axe de l'empreinte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0 28 010</w:t>
            </w:r>
          </w:p>
        </w:tc>
        <w:tc>
          <w:tcPr>
            <w:tcW w:type="dxa" w:w="3784"/>
          </w:tcPr>
          <w:p>
            <w:pPr>
              <w:spacing w:before="20" w:after="20"/>
            </w:pPr>
            <w:r/>
            <w:r>
              <w:rPr>
                <w:rFonts w:ascii="Verdana" w:hAnsi="Verdana"/>
                <w:b w:val="0"/>
                <w:sz w:val="16"/>
              </w:rPr>
              <w:t>Axe de l'empreinte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0 02 099</w:t>
            </w:r>
          </w:p>
        </w:tc>
        <w:tc>
          <w:tcPr>
            <w:tcW w:type="dxa" w:w="3784"/>
          </w:tcPr>
          <w:p>
            <w:pPr>
              <w:spacing w:before="20" w:after="20"/>
            </w:pPr>
            <w:r/>
            <w:r>
              <w:rPr>
                <w:rFonts w:ascii="Verdana" w:hAnsi="Verdana"/>
                <w:b w:val="0"/>
                <w:sz w:val="16"/>
              </w:rPr>
              <w:t>Polarisation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0 13 048</w:t>
            </w:r>
          </w:p>
        </w:tc>
        <w:tc>
          <w:tcPr>
            <w:tcW w:type="dxa" w:w="3784"/>
          </w:tcPr>
          <w:p>
            <w:pPr>
              <w:spacing w:before="20" w:after="20"/>
            </w:pPr>
            <w:r/>
            <w:r>
              <w:rPr>
                <w:rFonts w:ascii="Verdana" w:hAnsi="Verdana"/>
                <w:b w:val="0"/>
                <w:sz w:val="16"/>
              </w:rPr>
              <w:t>Fraction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0 25 081</w:t>
            </w:r>
          </w:p>
        </w:tc>
        <w:tc>
          <w:tcPr>
            <w:tcW w:type="dxa" w:w="3784"/>
          </w:tcPr>
          <w:p>
            <w:pPr>
              <w:spacing w:before="20" w:after="20"/>
            </w:pPr>
            <w:r/>
            <w:r>
              <w:rPr>
                <w:rFonts w:ascii="Verdana" w:hAnsi="Verdana"/>
                <w:b w:val="0"/>
                <w:sz w:val="16"/>
              </w:rPr>
              <w:t>Angle d'incidence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0 25 082</w:t>
            </w:r>
          </w:p>
        </w:tc>
        <w:tc>
          <w:tcPr>
            <w:tcW w:type="dxa" w:w="3784"/>
          </w:tcPr>
          <w:p>
            <w:pPr>
              <w:spacing w:before="20" w:after="20"/>
            </w:pPr>
            <w:r/>
            <w:r>
              <w:rPr>
                <w:rFonts w:ascii="Verdana" w:hAnsi="Verdana"/>
                <w:b w:val="0"/>
                <w:sz w:val="16"/>
              </w:rPr>
              <w:t>Angle d'azimut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0 25 083</w:t>
            </w:r>
          </w:p>
        </w:tc>
        <w:tc>
          <w:tcPr>
            <w:tcW w:type="dxa" w:w="3784"/>
          </w:tcPr>
          <w:p>
            <w:pPr>
              <w:spacing w:before="20" w:after="20"/>
            </w:pPr>
            <w:r/>
            <w:r>
              <w:rPr>
                <w:rFonts w:ascii="Verdana" w:hAnsi="Verdana"/>
                <w:b w:val="0"/>
                <w:sz w:val="16"/>
              </w:rPr>
              <w:t>Angle de rotation Faraday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0 25 084</w:t>
            </w:r>
          </w:p>
        </w:tc>
        <w:tc>
          <w:tcPr>
            <w:tcW w:type="dxa" w:w="3784"/>
          </w:tcPr>
          <w:p>
            <w:pPr>
              <w:spacing w:before="20" w:after="20"/>
            </w:pPr>
            <w:r/>
            <w:r>
              <w:rPr>
                <w:rFonts w:ascii="Verdana" w:hAnsi="Verdana"/>
                <w:b w:val="0"/>
                <w:sz w:val="16"/>
              </w:rPr>
              <w:t>Angle de rotation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0 12 080</w:t>
            </w:r>
          </w:p>
        </w:tc>
        <w:tc>
          <w:tcPr>
            <w:tcW w:type="dxa" w:w="3784"/>
          </w:tcPr>
          <w:p>
            <w:pPr>
              <w:spacing w:before="20" w:after="20"/>
            </w:pPr>
            <w:r/>
            <w:r>
              <w:rPr>
                <w:rFonts w:ascii="Verdana" w:hAnsi="Verdana"/>
                <w:b w:val="0"/>
                <w:sz w:val="16"/>
              </w:rPr>
              <w:t>Partie réelle de la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0 12 081</w:t>
            </w:r>
          </w:p>
        </w:tc>
        <w:tc>
          <w:tcPr>
            <w:tcW w:type="dxa" w:w="3784"/>
          </w:tcPr>
          <w:p>
            <w:pPr>
              <w:spacing w:before="20" w:after="20"/>
            </w:pPr>
            <w:r/>
            <w:r>
              <w:rPr>
                <w:rFonts w:ascii="Verdana" w:hAnsi="Verdana"/>
                <w:b w:val="0"/>
                <w:sz w:val="16"/>
              </w:rPr>
              <w:t>Partie imaginaire de la 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0 12 082</w:t>
            </w:r>
          </w:p>
        </w:tc>
        <w:tc>
          <w:tcPr>
            <w:tcW w:type="dxa" w:w="3784"/>
          </w:tcPr>
          <w:p>
            <w:pPr>
              <w:spacing w:before="20" w:after="20"/>
            </w:pPr>
            <w:r/>
            <w:r>
              <w:rPr>
                <w:rFonts w:ascii="Verdana" w:hAnsi="Verdana"/>
                <w:b w:val="0"/>
                <w:sz w:val="16"/>
              </w:rPr>
              <w:t>Précision radiométrique des pixels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0 25 174</w:t>
            </w:r>
          </w:p>
        </w:tc>
        <w:tc>
          <w:tcPr>
            <w:tcW w:type="dxa" w:w="3784"/>
          </w:tcPr>
          <w:p>
            <w:pPr>
              <w:spacing w:before="20" w:after="20"/>
            </w:pPr>
            <w:r/>
            <w:r>
              <w:rPr>
                <w:rFonts w:ascii="Verdana" w:hAnsi="Verdana"/>
                <w:b w:val="0"/>
                <w:sz w:val="16"/>
              </w:rPr>
              <w:t>Indicateur des informations SMOS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0 33 028</w:t>
            </w:r>
          </w:p>
        </w:tc>
        <w:tc>
          <w:tcPr>
            <w:tcW w:type="dxa" w:w="3784"/>
          </w:tcPr>
          <w:p>
            <w:pPr>
              <w:spacing w:before="20" w:after="20"/>
            </w:pPr>
            <w:r/>
            <w:r>
              <w:rPr>
                <w:rFonts w:ascii="Verdana" w:hAnsi="Verdana"/>
                <w:b w:val="0"/>
                <w:sz w:val="16"/>
              </w:rPr>
              <w:t>Qualité globale de l'instantané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12 071 (Altimètre SIRAL à bord de CryoSat-2)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Indicateur d'identification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0 02 139</w:t>
            </w:r>
          </w:p>
        </w:tc>
        <w:tc>
          <w:tcPr>
            <w:tcW w:type="dxa" w:w="3784"/>
          </w:tcPr>
          <w:p>
            <w:pPr>
              <w:spacing w:before="20" w:after="20"/>
            </w:pPr>
            <w:r/>
            <w:r>
              <w:rPr>
                <w:rFonts w:ascii="Verdana" w:hAnsi="Verdana"/>
                <w:b w:val="0"/>
                <w:sz w:val="16"/>
              </w:rPr>
              <w:t>Configuration de l'instrument SIRAL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Indicatif de la station d'acquisition</w:t>
            </w:r>
          </w:p>
        </w:tc>
        <w:tc>
          <w:tcPr>
            <w:tcW w:type="dxa" w:w="3784"/>
          </w:tcPr>
          <w:p>
            <w:pPr>
              <w:spacing w:before="20" w:after="20"/>
            </w:pPr>
            <w:r/>
            <w:r>
              <w:rPr>
                <w:rFonts w:ascii="Verdana" w:hAnsi="Verdana"/>
                <w:b w:val="0"/>
                <w:sz w:val="16"/>
              </w:rPr>
              <w:t>Nom de la station d'acquisition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Indicatif du centre de traitement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Numéro de l'orbite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Numéro de cycle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Identificateur d'orbite ascendante ou descendante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Type de surface détecté par radiomètre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du centre de gravité au-dessus de l'ellipsoïde de référence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Hauteur significative des vagues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0 22 142</w:t>
            </w:r>
          </w:p>
        </w:tc>
        <w:tc>
          <w:tcPr>
            <w:tcW w:type="dxa" w:w="3784"/>
          </w:tcPr>
          <w:p>
            <w:pPr>
              <w:spacing w:before="20" w:after="20"/>
            </w:pPr>
            <w:r/>
            <w:r>
              <w:rPr>
                <w:rFonts w:ascii="Verdana" w:hAnsi="Verdana"/>
                <w:b w:val="0"/>
                <w:sz w:val="16"/>
              </w:rPr>
              <w:t>Carré de la hauteur significative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Répéter 1 descripteur 20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0 22 149</w:t>
            </w:r>
          </w:p>
        </w:tc>
        <w:tc>
          <w:tcPr>
            <w:tcW w:type="dxa" w:w="3784"/>
          </w:tcPr>
          <w:p>
            <w:pPr>
              <w:spacing w:before="20" w:after="20"/>
            </w:pPr>
            <w:r/>
            <w:r>
              <w:rPr>
                <w:rFonts w:ascii="Verdana" w:hAnsi="Verdana"/>
                <w:b w:val="0"/>
                <w:sz w:val="16"/>
              </w:rPr>
              <w:t>Hauteur significative des vagues au carré à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0 22 143</w:t>
            </w:r>
          </w:p>
        </w:tc>
        <w:tc>
          <w:tcPr>
            <w:tcW w:type="dxa" w:w="3784"/>
          </w:tcPr>
          <w:p>
            <w:pPr>
              <w:spacing w:before="20" w:after="20"/>
            </w:pPr>
            <w:r/>
            <w:r>
              <w:rPr>
                <w:rFonts w:ascii="Verdana" w:hAnsi="Verdana"/>
                <w:b w:val="0"/>
                <w:sz w:val="16"/>
              </w:rPr>
              <w:t>Carré type de la hauteur significative des vagues à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0 22 144</w:t>
            </w:r>
          </w:p>
        </w:tc>
        <w:tc>
          <w:tcPr>
            <w:tcW w:type="dxa" w:w="3784"/>
          </w:tcPr>
          <w:p>
            <w:pPr>
              <w:spacing w:before="20" w:after="20"/>
            </w:pPr>
            <w:r/>
            <w:r>
              <w:rPr>
                <w:rFonts w:ascii="Verdana" w:hAnsi="Verdana"/>
                <w:b w:val="0"/>
                <w:sz w:val="16"/>
              </w:rPr>
              <w:t>Nombre de points corrects à 20 Hz pour la hauteur significative des vagues au carré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Coefficient de rétrodiffusion corrigé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Répéter 1 descripteur 20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0 21 181</w:t>
            </w:r>
          </w:p>
        </w:tc>
        <w:tc>
          <w:tcPr>
            <w:tcW w:type="dxa" w:w="3784"/>
          </w:tcPr>
          <w:p>
            <w:pPr>
              <w:spacing w:before="20" w:after="20"/>
            </w:pPr>
            <w:r/>
            <w:r>
              <w:rPr>
                <w:rFonts w:ascii="Verdana" w:hAnsi="Verdana"/>
                <w:b w:val="0"/>
                <w:sz w:val="16"/>
              </w:rPr>
              <w:t>Coefficient de rétrodiffusion pour l'océan à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Coefficient de rétrodiffusion corrigé type pour l'océan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0 21 180</w:t>
            </w:r>
          </w:p>
        </w:tc>
        <w:tc>
          <w:tcPr>
            <w:tcW w:type="dxa" w:w="3784"/>
          </w:tcPr>
          <w:p>
            <w:pPr>
              <w:spacing w:before="20" w:after="20"/>
            </w:pPr>
            <w:r/>
            <w:r>
              <w:rPr>
                <w:rFonts w:ascii="Verdana" w:hAnsi="Verdana"/>
                <w:b w:val="0"/>
                <w:sz w:val="16"/>
              </w:rPr>
              <w:t>Nombre de points corrects à 20 Hz pour le coefficient de rétrodiffusion pour l'océan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0 21 177</w:t>
            </w:r>
          </w:p>
        </w:tc>
        <w:tc>
          <w:tcPr>
            <w:tcW w:type="dxa" w:w="3784"/>
          </w:tcPr>
          <w:p>
            <w:pPr>
              <w:spacing w:before="20" w:after="20"/>
            </w:pPr>
            <w:r/>
            <w:r>
              <w:rPr>
                <w:rFonts w:ascii="Verdana" w:hAnsi="Verdana"/>
                <w:b w:val="0"/>
                <w:sz w:val="16"/>
              </w:rPr>
              <w:t>Coefficient de rétrodiffusion corrigé -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0 21 178</w:t>
            </w:r>
          </w:p>
        </w:tc>
        <w:tc>
          <w:tcPr>
            <w:tcW w:type="dxa" w:w="3784"/>
          </w:tcPr>
          <w:p>
            <w:pPr>
              <w:spacing w:before="20" w:after="20"/>
            </w:pPr>
            <w:r/>
            <w:r>
              <w:rPr>
                <w:rFonts w:ascii="Verdana" w:hAnsi="Verdana"/>
                <w:b w:val="0"/>
                <w:sz w:val="16"/>
              </w:rPr>
              <w:t>Coefficient de rétrodiffusion corrigé type à 20 Hz -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0 21 179</w:t>
            </w:r>
          </w:p>
        </w:tc>
        <w:tc>
          <w:tcPr>
            <w:tcW w:type="dxa" w:w="3784"/>
          </w:tcPr>
          <w:p>
            <w:pPr>
              <w:spacing w:before="20" w:after="20"/>
            </w:pPr>
            <w:r/>
            <w:r>
              <w:rPr>
                <w:rFonts w:ascii="Verdana" w:hAnsi="Verdana"/>
                <w:b w:val="0"/>
                <w:sz w:val="16"/>
              </w:rPr>
              <w:t>Nombre de points corrects à 20 Hz pour le coefficient de rétrodiffusion -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0 10 079</w:t>
            </w:r>
          </w:p>
        </w:tc>
        <w:tc>
          <w:tcPr>
            <w:tcW w:type="dxa" w:w="3784"/>
          </w:tcPr>
          <w:p>
            <w:pPr>
              <w:spacing w:before="20" w:after="20"/>
            </w:pPr>
            <w:r/>
            <w:r>
              <w:rPr>
                <w:rFonts w:ascii="Verdana" w:hAnsi="Verdana"/>
                <w:b w:val="0"/>
                <w:sz w:val="16"/>
              </w:rPr>
              <w:t>Angle de décalage du satellite par rapport au nadir, calculé à partir de l'assiette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Hauteur moyenne de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Hauteur du géoïde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Profondeur de l'océan ou altitude des terres émergées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Hauteur géocentrique totale de marée océanique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Hauteur de marée pour une période prolongée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0 10 091</w:t>
            </w:r>
          </w:p>
        </w:tc>
        <w:tc>
          <w:tcPr>
            <w:tcW w:type="dxa" w:w="3784"/>
          </w:tcPr>
          <w:p>
            <w:pPr>
              <w:spacing w:before="20" w:after="20"/>
            </w:pPr>
            <w:r/>
            <w:r>
              <w:rPr>
                <w:rFonts w:ascii="Verdana" w:hAnsi="Verdana"/>
                <w:b w:val="0"/>
                <w:sz w:val="16"/>
              </w:rPr>
              <w:t>Hauteur de marée incluant l'effet de charge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Hauteur de marée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Hauteur géocentrique de marée polaire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Vitesse du vent indiquée par l'altimètre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0 21 093</w:t>
            </w:r>
          </w:p>
        </w:tc>
        <w:tc>
          <w:tcPr>
            <w:tcW w:type="dxa" w:w="3784"/>
          </w:tcPr>
          <w:p>
            <w:pPr>
              <w:spacing w:before="20" w:after="20"/>
            </w:pPr>
            <w:r/>
            <w:r>
              <w:rPr>
                <w:rFonts w:ascii="Verdana" w:hAnsi="Verdana"/>
                <w:b w:val="0"/>
                <w:sz w:val="16"/>
              </w:rPr>
              <w:t>Maxima bande Ku</w:t>
            </w:r>
          </w:p>
        </w:tc>
        <w:tc>
          <w:tcPr>
            <w:tcW w:type="dxa" w:w="3784"/>
          </w:tcPr>
          <w:p>
            <w:pPr>
              <w:spacing w:before="20" w:after="20"/>
            </w:pPr>
            <w:r/>
            <w:r>
              <w:rPr>
                <w:rFonts w:ascii="Verdana" w:hAnsi="Verdana"/>
                <w:b w:val="0"/>
                <w:sz w:val="16"/>
              </w:rPr>
              <w:t>Moyenne des valeurs à 20 Hz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Répéter 1 descripteur 20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0 21 182</w:t>
            </w:r>
          </w:p>
        </w:tc>
        <w:tc>
          <w:tcPr>
            <w:tcW w:type="dxa" w:w="3784"/>
          </w:tcPr>
          <w:p>
            <w:pPr>
              <w:spacing w:before="20" w:after="20"/>
            </w:pPr>
            <w:r/>
            <w:r>
              <w:rPr>
                <w:rFonts w:ascii="Verdana" w:hAnsi="Verdana"/>
                <w:b w:val="0"/>
                <w:sz w:val="16"/>
              </w:rPr>
              <w:t>Maxima à 20 Hz en bande Ku</w:t>
            </w:r>
          </w:p>
        </w:tc>
        <w:tc>
          <w:tcPr>
            <w:tcW w:type="dxa" w:w="3784"/>
          </w:tcPr>
          <w:p>
            <w:pPr>
              <w:spacing w:before="20" w:after="20"/>
            </w:pPr>
            <w:r/>
            <w:r>
              <w:rPr>
                <w:rFonts w:ascii="Verdana" w:hAnsi="Verdana"/>
                <w:b w:val="0"/>
                <w:sz w:val="16"/>
              </w:rPr>
              <w:t>20 valeurs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0 33 053</w:t>
            </w:r>
          </w:p>
        </w:tc>
        <w:tc>
          <w:tcPr>
            <w:tcW w:type="dxa" w:w="3784"/>
          </w:tcPr>
          <w:p>
            <w:pPr>
              <w:spacing w:before="20" w:after="20"/>
            </w:pPr>
            <w:r/>
            <w:r>
              <w:rPr>
                <w:rFonts w:ascii="Verdana" w:hAnsi="Verdana"/>
                <w:b w:val="0"/>
                <w:sz w:val="16"/>
              </w:rPr>
              <w:t>Qualité du retraitement des données océaniques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Intervalle océanique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0 22 145</w:t>
            </w:r>
          </w:p>
        </w:tc>
        <w:tc>
          <w:tcPr>
            <w:tcW w:type="dxa" w:w="3784"/>
          </w:tcPr>
          <w:p>
            <w:pPr>
              <w:spacing w:before="20" w:after="20"/>
            </w:pPr>
            <w:r/>
            <w:r>
              <w:rPr>
                <w:rFonts w:ascii="Verdana" w:hAnsi="Verdana"/>
                <w:b w:val="0"/>
                <w:sz w:val="16"/>
              </w:rPr>
              <w:t>Intervalle océanique type à 20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0 22 148</w:t>
            </w:r>
          </w:p>
        </w:tc>
        <w:tc>
          <w:tcPr>
            <w:tcW w:type="dxa" w:w="3784"/>
          </w:tcPr>
          <w:p>
            <w:pPr>
              <w:spacing w:before="20" w:after="20"/>
            </w:pPr>
            <w:r/>
            <w:r>
              <w:rPr>
                <w:rFonts w:ascii="Verdana" w:hAnsi="Verdana"/>
                <w:b w:val="0"/>
                <w:sz w:val="16"/>
              </w:rPr>
              <w:t>Nombre de points corrects à 20 Hz pour l'intervalle océanique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0 22 146</w:t>
            </w:r>
          </w:p>
        </w:tc>
        <w:tc>
          <w:tcPr>
            <w:tcW w:type="dxa" w:w="3784"/>
          </w:tcPr>
          <w:p>
            <w:pPr>
              <w:spacing w:before="20" w:after="20"/>
            </w:pPr>
            <w:r/>
            <w:r>
              <w:rPr>
                <w:rFonts w:ascii="Verdana" w:hAnsi="Verdana"/>
                <w:b w:val="0"/>
                <w:sz w:val="16"/>
              </w:rPr>
              <w:t>Intervalle pour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0 22 147</w:t>
            </w:r>
          </w:p>
        </w:tc>
        <w:tc>
          <w:tcPr>
            <w:tcW w:type="dxa" w:w="3784"/>
          </w:tcPr>
          <w:p>
            <w:pPr>
              <w:spacing w:before="20" w:after="20"/>
            </w:pPr>
            <w:r/>
            <w:r>
              <w:rPr>
                <w:rFonts w:ascii="Verdana" w:hAnsi="Verdana"/>
                <w:b w:val="0"/>
                <w:sz w:val="16"/>
              </w:rPr>
              <w:t>Intervalle type à 20 Hz pour centre de gravité excentré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Correction de troposphère sèche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Correction de troposphère humide - modèle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Correction de baromètre inverse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0 21 176</w:t>
            </w:r>
          </w:p>
        </w:tc>
        <w:tc>
          <w:tcPr>
            <w:tcW w:type="dxa" w:w="3784"/>
          </w:tcPr>
          <w:p>
            <w:pPr>
              <w:spacing w:before="20" w:after="20"/>
            </w:pPr>
            <w:r/>
            <w:r>
              <w:rPr>
                <w:rFonts w:ascii="Verdana" w:hAnsi="Verdana"/>
                <w:b w:val="0"/>
                <w:sz w:val="16"/>
              </w:rPr>
              <w:t>Correction haute fréquence de la variabilité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Correction ionosphérique - modèle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Correction du biais d'état de la mer en bande Ku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Indicateur de traitement de niveau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0 25 183</w:t>
            </w:r>
          </w:p>
        </w:tc>
        <w:tc>
          <w:tcPr>
            <w:tcW w:type="dxa" w:w="3784"/>
          </w:tcPr>
          <w:p>
            <w:pPr>
              <w:spacing w:before="20" w:after="20"/>
            </w:pPr>
            <w:r/>
            <w:r>
              <w:rPr>
                <w:rFonts w:ascii="Verdana" w:hAnsi="Verdana"/>
                <w:b w:val="0"/>
                <w:sz w:val="16"/>
              </w:rPr>
              <w:t>Qualité du traitement de niveau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0 25 180</w:t>
            </w:r>
          </w:p>
        </w:tc>
        <w:tc>
          <w:tcPr>
            <w:tcW w:type="dxa" w:w="3784"/>
          </w:tcPr>
          <w:p>
            <w:pPr>
              <w:spacing w:before="20" w:after="20"/>
            </w:pPr>
            <w:r/>
            <w:r>
              <w:rPr>
                <w:rFonts w:ascii="Verdana" w:hAnsi="Verdana"/>
                <w:b w:val="0"/>
                <w:sz w:val="16"/>
              </w:rPr>
              <w:t>Pourcentage en mode basse résolution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0 25 184</w:t>
            </w:r>
          </w:p>
        </w:tc>
        <w:tc>
          <w:tcPr>
            <w:tcW w:type="dxa" w:w="3784"/>
          </w:tcPr>
          <w:p>
            <w:pPr>
              <w:spacing w:before="20" w:after="20"/>
            </w:pPr>
            <w:r/>
            <w:r>
              <w:rPr>
                <w:rFonts w:ascii="Verdana" w:hAnsi="Verdana"/>
                <w:b w:val="0"/>
                <w:sz w:val="16"/>
              </w:rPr>
              <w:t>Catégorie de produit de niveau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0 25 181</w:t>
            </w:r>
          </w:p>
        </w:tc>
        <w:tc>
          <w:tcPr>
            <w:tcW w:type="dxa" w:w="3784"/>
          </w:tcPr>
          <w:p>
            <w:pPr>
              <w:spacing w:before="20" w:after="20"/>
            </w:pPr>
            <w:r/>
            <w:r>
              <w:rPr>
                <w:rFonts w:ascii="Verdana" w:hAnsi="Verdana"/>
                <w:b w:val="0"/>
                <w:sz w:val="16"/>
              </w:rPr>
              <w:t>Indicateur de traitement de niveau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Indicateur de qualité au niveau du balayage</w:t>
            </w:r>
          </w:p>
        </w:tc>
        <w:tc>
          <w:tcPr>
            <w:tcW w:type="dxa" w:w="3784"/>
          </w:tcPr>
          <w:p>
            <w:pPr>
              <w:spacing w:before="20" w:after="20"/>
            </w:pPr>
            <w:r/>
            <w:r>
              <w:rPr>
                <w:rFonts w:ascii="Verdana" w:hAnsi="Verdana"/>
                <w:b w:val="0"/>
                <w:sz w:val="16"/>
              </w:rPr>
              <w:t>Qualité du traitement de niveau 2</w:t>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