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21 : Séquences correspondant à des messages de mesures par radar</w:t>
      </w:r>
    </w:p>
    <w:p>
      <w:r>
        <w:rPr>
          <w:rFonts w:ascii="Verdana" w:hAnsi="Verdana"/>
          <w:b/>
          <w:sz w:val="18"/>
        </w:rPr>
        <w:t>3 21 001 (Profileur du vent - caractéristiques de l'antenne)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Type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0 02 114</w:t>
            </w:r>
          </w:p>
        </w:tc>
        <w:tc>
          <w:tcPr>
            <w:tcW w:type="dxa" w:w="3784"/>
          </w:tcPr>
          <w:p>
            <w:pPr>
              <w:spacing w:before="20" w:after="20"/>
            </w:pPr>
            <w:r/>
            <w:r>
              <w:rPr>
                <w:rFonts w:ascii="Verdana" w:hAnsi="Verdana"/>
                <w:b w:val="0"/>
                <w:sz w:val="16"/>
              </w:rPr>
              <w:t>Surface équivalente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0 02 105</w:t>
            </w:r>
          </w:p>
        </w:tc>
        <w:tc>
          <w:tcPr>
            <w:tcW w:type="dxa" w:w="3784"/>
          </w:tcPr>
          <w:p>
            <w:pPr>
              <w:spacing w:before="20" w:after="20"/>
            </w:pPr>
            <w:r/>
            <w:r>
              <w:rPr>
                <w:rFonts w:ascii="Verdana" w:hAnsi="Verdana"/>
                <w:b w:val="0"/>
                <w:sz w:val="16"/>
              </w:rPr>
              <w:t>Gain maximal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Ouverture de faisceau à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0 02 107</w:t>
            </w:r>
          </w:p>
        </w:tc>
        <w:tc>
          <w:tcPr>
            <w:tcW w:type="dxa" w:w="3784"/>
          </w:tcPr>
          <w:p>
            <w:pPr>
              <w:spacing w:before="20" w:after="20"/>
            </w:pPr>
            <w:r/>
            <w:r>
              <w:rPr>
                <w:rFonts w:ascii="Verdana" w:hAnsi="Verdana"/>
                <w:b w:val="0"/>
                <w:sz w:val="16"/>
              </w:rPr>
              <w:t>Suppression des lobes latéraux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21 003 (Profileur du vent - données relatives au moment)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0 21 051</w:t>
            </w:r>
          </w:p>
        </w:tc>
        <w:tc>
          <w:tcPr>
            <w:tcW w:type="dxa" w:w="3784"/>
          </w:tcPr>
          <w:p>
            <w:pPr>
              <w:spacing w:before="20" w:after="20"/>
            </w:pPr>
            <w:r/>
            <w:r>
              <w:rPr>
                <w:rFonts w:ascii="Verdana" w:hAnsi="Verdana"/>
                <w:b w:val="0"/>
                <w:sz w:val="16"/>
              </w:rPr>
              <w:t>Puissance du signal supérieure à 1 mW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Vitesse Doppler moyenne (radiale)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Largeur spectrale de la vitesse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21 004 (Profileur du vent - sondage des données relatives au moment)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3 21 003</w:t>
            </w:r>
          </w:p>
        </w:tc>
        <w:tc>
          <w:tcPr>
            <w:tcW w:type="dxa" w:w="3784"/>
          </w:tcPr>
          <w:p>
            <w:pPr>
              <w:spacing w:before="20" w:after="20"/>
            </w:pPr>
            <w:r/>
            <w:r>
              <w:rPr>
                <w:rFonts w:ascii="Verdana" w:hAnsi="Verdana"/>
                <w:b w:val="0"/>
                <w:sz w:val="16"/>
              </w:rPr>
              <w:t>Profileur du vent - données relatives au moment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21 005 (Caractéristiques des émetteurs-récepteurs)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0 25 004</w:t>
            </w:r>
          </w:p>
        </w:tc>
        <w:tc>
          <w:tcPr>
            <w:tcW w:type="dxa" w:w="3784"/>
          </w:tcPr>
          <w:p>
            <w:pPr>
              <w:spacing w:before="20" w:after="20"/>
            </w:pPr>
            <w:r/>
            <w:r>
              <w:rPr>
                <w:rFonts w:ascii="Verdana" w:hAnsi="Verdana"/>
                <w:b w:val="0"/>
                <w:sz w:val="16"/>
              </w:rPr>
              <w:t>Traitement des échos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0 02 122</w:t>
            </w:r>
          </w:p>
        </w:tc>
        <w:tc>
          <w:tcPr>
            <w:tcW w:type="dxa" w:w="3784"/>
          </w:tcPr>
          <w:p>
            <w:pPr>
              <w:spacing w:before="20" w:after="20"/>
            </w:pPr>
            <w:r/>
            <w:r>
              <w:rPr>
                <w:rFonts w:ascii="Verdana" w:hAnsi="Verdana"/>
                <w:b w:val="0"/>
                <w:sz w:val="16"/>
              </w:rPr>
              <w:t>Gamme d'agilité de fréquence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0 02 123</w:t>
            </w:r>
          </w:p>
        </w:tc>
        <w:tc>
          <w:tcPr>
            <w:tcW w:type="dxa" w:w="3784"/>
          </w:tcPr>
          <w:p>
            <w:pPr>
              <w:spacing w:before="20" w:after="20"/>
            </w:pPr>
            <w:r/>
            <w:r>
              <w:rPr>
                <w:rFonts w:ascii="Verdana" w:hAnsi="Verdana"/>
                <w:b w:val="0"/>
                <w:sz w:val="16"/>
              </w:rPr>
              <w:t>Puissance de crête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0 02 124</w:t>
            </w:r>
          </w:p>
        </w:tc>
        <w:tc>
          <w:tcPr>
            <w:tcW w:type="dxa" w:w="3784"/>
          </w:tcPr>
          <w:p>
            <w:pPr>
              <w:spacing w:before="20" w:after="20"/>
            </w:pPr>
            <w:r/>
            <w:r>
              <w:rPr>
                <w:rFonts w:ascii="Verdana" w:hAnsi="Verdana"/>
                <w:b w:val="0"/>
                <w:sz w:val="16"/>
              </w:rPr>
              <w:t>Puissance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0 02 125</w:t>
            </w:r>
          </w:p>
        </w:tc>
        <w:tc>
          <w:tcPr>
            <w:tcW w:type="dxa" w:w="3784"/>
          </w:tcPr>
          <w:p>
            <w:pPr>
              <w:spacing w:before="20" w:after="20"/>
            </w:pPr>
            <w:r/>
            <w:r>
              <w:rPr>
                <w:rFonts w:ascii="Verdana" w:hAnsi="Verdana"/>
                <w:b w:val="0"/>
                <w:sz w:val="16"/>
              </w:rPr>
              <w:t>Fréquence de répétition des impulsions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0 02 126</w:t>
            </w:r>
          </w:p>
        </w:tc>
        <w:tc>
          <w:tcPr>
            <w:tcW w:type="dxa" w:w="3784"/>
          </w:tcPr>
          <w:p>
            <w:pPr>
              <w:spacing w:before="20" w:after="20"/>
            </w:pPr>
            <w:r/>
            <w:r>
              <w:rPr>
                <w:rFonts w:ascii="Verdana" w:hAnsi="Verdana"/>
                <w:b w:val="0"/>
                <w:sz w:val="16"/>
              </w:rPr>
              <w:t>Largeur d'impulsion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0 02 127</w:t>
            </w:r>
          </w:p>
        </w:tc>
        <w:tc>
          <w:tcPr>
            <w:tcW w:type="dxa" w:w="3784"/>
          </w:tcPr>
          <w:p>
            <w:pPr>
              <w:spacing w:before="20" w:after="20"/>
            </w:pPr>
            <w:r/>
            <w:r>
              <w:rPr>
                <w:rFonts w:ascii="Verdana" w:hAnsi="Verdana"/>
                <w:b w:val="0"/>
                <w:sz w:val="16"/>
              </w:rPr>
              <w:t>Fréquence intermédiaire du récepteur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0 02 128</w:t>
            </w:r>
          </w:p>
        </w:tc>
        <w:tc>
          <w:tcPr>
            <w:tcW w:type="dxa" w:w="3784"/>
          </w:tcPr>
          <w:p>
            <w:pPr>
              <w:spacing w:before="20" w:after="20"/>
            </w:pPr>
            <w:r/>
            <w:r>
              <w:rPr>
                <w:rFonts w:ascii="Verdana" w:hAnsi="Verdana"/>
                <w:b w:val="0"/>
                <w:sz w:val="16"/>
              </w:rPr>
              <w:t>Bande passante aux fréquences intermédiaires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0 02 129</w:t>
            </w:r>
          </w:p>
        </w:tc>
        <w:tc>
          <w:tcPr>
            <w:tcW w:type="dxa" w:w="3784"/>
          </w:tcPr>
          <w:p>
            <w:pPr>
              <w:spacing w:before="20" w:after="20"/>
            </w:pPr>
            <w:r/>
            <w:r>
              <w:rPr>
                <w:rFonts w:ascii="Verdana" w:hAnsi="Verdana"/>
                <w:b w:val="0"/>
                <w:sz w:val="16"/>
              </w:rPr>
              <w:t>Signal minimal détectable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0 02 130</w:t>
            </w:r>
          </w:p>
        </w:tc>
        <w:tc>
          <w:tcPr>
            <w:tcW w:type="dxa" w:w="3784"/>
          </w:tcPr>
          <w:p>
            <w:pPr>
              <w:spacing w:before="20" w:after="20"/>
            </w:pPr>
            <w:r/>
            <w:r>
              <w:rPr>
                <w:rFonts w:ascii="Verdana" w:hAnsi="Verdana"/>
                <w:b w:val="0"/>
                <w:sz w:val="16"/>
              </w:rPr>
              <w:t>Portée dynamique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0 02 131</w:t>
            </w:r>
          </w:p>
        </w:tc>
        <w:tc>
          <w:tcPr>
            <w:tcW w:type="dxa" w:w="3784"/>
          </w:tcPr>
          <w:p>
            <w:pPr>
              <w:spacing w:before="20" w:after="20"/>
            </w:pPr>
            <w:r/>
            <w:r>
              <w:rPr>
                <w:rFonts w:ascii="Verdana" w:hAnsi="Verdana"/>
                <w:b w:val="0"/>
                <w:sz w:val="16"/>
              </w:rPr>
              <w:t>Commande de gain variable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21 006 (Caractéristiques d'intégration)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0 25 001</w:t>
            </w:r>
          </w:p>
        </w:tc>
        <w:tc>
          <w:tcPr>
            <w:tcW w:type="dxa" w:w="3784"/>
          </w:tcPr>
          <w:p>
            <w:pPr>
              <w:spacing w:before="20" w:after="20"/>
            </w:pPr>
            <w:r/>
            <w:r>
              <w:rPr>
                <w:rFonts w:ascii="Verdana" w:hAnsi="Verdana"/>
                <w:b w:val="0"/>
                <w:sz w:val="16"/>
              </w:rPr>
              <w:t>Distance de la porte d'intégration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0 25 002</w:t>
            </w:r>
          </w:p>
        </w:tc>
        <w:tc>
          <w:tcPr>
            <w:tcW w:type="dxa" w:w="3784"/>
          </w:tcPr>
          <w:p>
            <w:pPr>
              <w:spacing w:before="20" w:after="20"/>
            </w:pPr>
            <w:r/>
            <w:r>
              <w:rPr>
                <w:rFonts w:ascii="Verdana" w:hAnsi="Verdana"/>
                <w:b w:val="0"/>
                <w:sz w:val="16"/>
              </w:rPr>
              <w:t>Nombre moyen de portes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0 25 003</w:t>
            </w:r>
          </w:p>
        </w:tc>
        <w:tc>
          <w:tcPr>
            <w:tcW w:type="dxa" w:w="3784"/>
          </w:tcPr>
          <w:p>
            <w:pPr>
              <w:spacing w:before="20" w:after="20"/>
            </w:pPr>
            <w:r/>
            <w:r>
              <w:rPr>
                <w:rFonts w:ascii="Verdana" w:hAnsi="Verdana"/>
                <w:b w:val="0"/>
                <w:sz w:val="16"/>
              </w:rPr>
              <w:t>Nombre d'impulsions intégrées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0 25 005</w:t>
            </w:r>
          </w:p>
        </w:tc>
        <w:tc>
          <w:tcPr>
            <w:tcW w:type="dxa" w:w="3784"/>
          </w:tcPr>
          <w:p>
            <w:pPr>
              <w:spacing w:before="20" w:after="20"/>
            </w:pPr>
            <w:r/>
            <w:r>
              <w:rPr>
                <w:rFonts w:ascii="Verdana" w:hAnsi="Verdana"/>
                <w:b w:val="0"/>
                <w:sz w:val="16"/>
              </w:rPr>
              <w:t>Intégration des échos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21 007 (Corrections)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0 25 009</w:t>
            </w:r>
          </w:p>
        </w:tc>
        <w:tc>
          <w:tcPr>
            <w:tcW w:type="dxa" w:w="3784"/>
          </w:tcPr>
          <w:p>
            <w:pPr>
              <w:spacing w:before="20" w:after="20"/>
            </w:pPr>
            <w:r/>
            <w:r>
              <w:rPr>
                <w:rFonts w:ascii="Verdana" w:hAnsi="Verdana"/>
                <w:b w:val="0"/>
                <w:sz w:val="16"/>
              </w:rPr>
              <w:t>Méthode d'étalonnage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Traitement des échos fixes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0 25 011</w:t>
            </w:r>
          </w:p>
        </w:tc>
        <w:tc>
          <w:tcPr>
            <w:tcW w:type="dxa" w:w="3784"/>
          </w:tcPr>
          <w:p>
            <w:pPr>
              <w:spacing w:before="20" w:after="20"/>
            </w:pPr>
            <w:r/>
            <w:r>
              <w:rPr>
                <w:rFonts w:ascii="Verdana" w:hAnsi="Verdana"/>
                <w:b w:val="0"/>
                <w:sz w:val="16"/>
              </w:rPr>
              <w:t>Correction des échos de sol (filtrage)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0 25 012</w:t>
            </w:r>
          </w:p>
        </w:tc>
        <w:tc>
          <w:tcPr>
            <w:tcW w:type="dxa" w:w="3784"/>
          </w:tcPr>
          <w:p>
            <w:pPr>
              <w:spacing w:before="20" w:after="20"/>
            </w:pPr>
            <w:r/>
            <w:r>
              <w:rPr>
                <w:rFonts w:ascii="Verdana" w:hAnsi="Verdana"/>
                <w:b w:val="0"/>
                <w:sz w:val="16"/>
              </w:rPr>
              <w:t>Correction de l'atténuation de portée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0 25 013</w:t>
            </w:r>
          </w:p>
        </w:tc>
        <w:tc>
          <w:tcPr>
            <w:tcW w:type="dxa" w:w="3784"/>
          </w:tcPr>
          <w:p>
            <w:pPr>
              <w:spacing w:before="20" w:after="20"/>
            </w:pPr>
            <w:r/>
            <w:r>
              <w:rPr>
                <w:rFonts w:ascii="Verdana" w:hAnsi="Verdana"/>
                <w:b w:val="0"/>
                <w:sz w:val="16"/>
              </w:rPr>
              <w:t>Correction de la bande brillante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0 25 015</w:t>
            </w:r>
          </w:p>
        </w:tc>
        <w:tc>
          <w:tcPr>
            <w:tcW w:type="dxa" w:w="3784"/>
          </w:tcPr>
          <w:p>
            <w:pPr>
              <w:spacing w:before="20" w:after="20"/>
            </w:pPr>
            <w:r/>
            <w:r>
              <w:rPr>
                <w:rFonts w:ascii="Verdana" w:hAnsi="Verdana"/>
                <w:b w:val="0"/>
                <w:sz w:val="16"/>
              </w:rPr>
              <w:t>Correction de l'atténuation par le radôme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0 25 016</w:t>
            </w:r>
          </w:p>
        </w:tc>
        <w:tc>
          <w:tcPr>
            <w:tcW w:type="dxa" w:w="3784"/>
          </w:tcPr>
          <w:p>
            <w:pPr>
              <w:spacing w:before="20" w:after="20"/>
            </w:pPr>
            <w:r/>
            <w:r>
              <w:rPr>
                <w:rFonts w:ascii="Verdana" w:hAnsi="Verdana"/>
                <w:b w:val="0"/>
                <w:sz w:val="16"/>
              </w:rPr>
              <w:t>Correction de l'atténuation en air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0 25 017</w:t>
            </w:r>
          </w:p>
        </w:tc>
        <w:tc>
          <w:tcPr>
            <w:tcW w:type="dxa" w:w="3784"/>
          </w:tcPr>
          <w:p>
            <w:pPr>
              <w:spacing w:before="20" w:after="20"/>
            </w:pPr>
            <w:r/>
            <w:r>
              <w:rPr>
                <w:rFonts w:ascii="Verdana" w:hAnsi="Verdana"/>
                <w:b w:val="0"/>
                <w:sz w:val="16"/>
              </w:rPr>
              <w:t>Correction de l'atténuation par les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21 008 (Conversion de Z à 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0 25 006</w:t>
            </w:r>
          </w:p>
        </w:tc>
        <w:tc>
          <w:tcPr>
            <w:tcW w:type="dxa" w:w="3784"/>
          </w:tcPr>
          <w:p>
            <w:pPr>
              <w:spacing w:before="20" w:after="20"/>
            </w:pPr>
            <w:r/>
            <w:r>
              <w:rPr>
                <w:rFonts w:ascii="Verdana" w:hAnsi="Verdana"/>
                <w:b w:val="0"/>
                <w:sz w:val="16"/>
              </w:rPr>
              <w:t>Conversion Z -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0 25 007</w:t>
            </w:r>
          </w:p>
        </w:tc>
        <w:tc>
          <w:tcPr>
            <w:tcW w:type="dxa" w:w="3784"/>
          </w:tcPr>
          <w:p>
            <w:pPr>
              <w:spacing w:before="20" w:after="20"/>
            </w:pPr>
            <w:r/>
            <w:r>
              <w:rPr>
                <w:rFonts w:ascii="Verdana" w:hAnsi="Verdana"/>
                <w:b w:val="0"/>
                <w:sz w:val="16"/>
              </w:rPr>
              <w:t>Facteur de conversion Z -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0 25 008</w:t>
            </w:r>
          </w:p>
        </w:tc>
        <w:tc>
          <w:tcPr>
            <w:tcW w:type="dxa" w:w="3784"/>
          </w:tcPr>
          <w:p>
            <w:pPr>
              <w:spacing w:before="20" w:after="20"/>
            </w:pPr>
            <w:r/>
            <w:r>
              <w:rPr>
                <w:rFonts w:ascii="Verdana" w:hAnsi="Verdana"/>
                <w:b w:val="0"/>
                <w:sz w:val="16"/>
              </w:rPr>
              <w:t>Exposant de conversion Z -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21 009 (Loi reliant A à Z)</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0 25 018</w:t>
            </w:r>
          </w:p>
        </w:tc>
        <w:tc>
          <w:tcPr>
            <w:tcW w:type="dxa" w:w="3784"/>
          </w:tcPr>
          <w:p>
            <w:pPr>
              <w:spacing w:before="20" w:after="20"/>
            </w:pPr>
            <w:r/>
            <w:r>
              <w:rPr>
                <w:rFonts w:ascii="Verdana" w:hAnsi="Verdana"/>
                <w:b w:val="0"/>
                <w:sz w:val="16"/>
              </w:rPr>
              <w:t>Loi reliant A à Z pour le facteur d'atténuation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0 25 019</w:t>
            </w:r>
          </w:p>
        </w:tc>
        <w:tc>
          <w:tcPr>
            <w:tcW w:type="dxa" w:w="3784"/>
          </w:tcPr>
          <w:p>
            <w:pPr>
              <w:spacing w:before="20" w:after="20"/>
            </w:pPr>
            <w:r/>
            <w:r>
              <w:rPr>
                <w:rFonts w:ascii="Verdana" w:hAnsi="Verdana"/>
                <w:b w:val="0"/>
                <w:sz w:val="16"/>
              </w:rPr>
              <w:t>Loi reliant A à Z pour l'exposant d'atténuation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21 010 (Caractéristiques de l'antenne)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Type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Altitude de la base du pylône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0 02 102</w:t>
            </w:r>
          </w:p>
        </w:tc>
        <w:tc>
          <w:tcPr>
            <w:tcW w:type="dxa" w:w="3784"/>
          </w:tcPr>
          <w:p>
            <w:pPr>
              <w:spacing w:before="20" w:after="20"/>
            </w:pPr>
            <w:r/>
            <w:r>
              <w:rPr>
                <w:rFonts w:ascii="Verdana" w:hAnsi="Verdana"/>
                <w:b w:val="0"/>
                <w:sz w:val="16"/>
              </w:rPr>
              <w:t>Hauteur de l'antenne au-dessus de la base du pylône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Radôme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0 02 105</w:t>
            </w:r>
          </w:p>
        </w:tc>
        <w:tc>
          <w:tcPr>
            <w:tcW w:type="dxa" w:w="3784"/>
          </w:tcPr>
          <w:p>
            <w:pPr>
              <w:spacing w:before="20" w:after="20"/>
            </w:pPr>
            <w:r/>
            <w:r>
              <w:rPr>
                <w:rFonts w:ascii="Verdana" w:hAnsi="Verdana"/>
                <w:b w:val="0"/>
                <w:sz w:val="16"/>
              </w:rPr>
              <w:t>Gain maximal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Ouverture de faisceau à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0 02 107</w:t>
            </w:r>
          </w:p>
        </w:tc>
        <w:tc>
          <w:tcPr>
            <w:tcW w:type="dxa" w:w="3784"/>
          </w:tcPr>
          <w:p>
            <w:pPr>
              <w:spacing w:before="20" w:after="20"/>
            </w:pPr>
            <w:r/>
            <w:r>
              <w:rPr>
                <w:rFonts w:ascii="Verdana" w:hAnsi="Verdana"/>
                <w:b w:val="0"/>
                <w:sz w:val="16"/>
              </w:rPr>
              <w:t>Suppression des lobes latéraux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0 02 108</w:t>
            </w:r>
          </w:p>
        </w:tc>
        <w:tc>
          <w:tcPr>
            <w:tcW w:type="dxa" w:w="3784"/>
          </w:tcPr>
          <w:p>
            <w:pPr>
              <w:spacing w:before="20" w:after="20"/>
            </w:pPr>
            <w:r/>
            <w:r>
              <w:rPr>
                <w:rFonts w:ascii="Verdana" w:hAnsi="Verdana"/>
                <w:b w:val="0"/>
                <w:sz w:val="16"/>
              </w:rPr>
              <w:t>Rapport de découplage de polarisation croisée dans l'axe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0 02 109</w:t>
            </w:r>
          </w:p>
        </w:tc>
        <w:tc>
          <w:tcPr>
            <w:tcW w:type="dxa" w:w="3784"/>
          </w:tcPr>
          <w:p>
            <w:pPr>
              <w:spacing w:before="20" w:after="20"/>
            </w:pPr>
            <w:r/>
            <w:r>
              <w:rPr>
                <w:rFonts w:ascii="Verdana" w:hAnsi="Verdana"/>
                <w:b w:val="0"/>
                <w:sz w:val="16"/>
              </w:rPr>
              <w:t>Vitesse angulaire de l'antenne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0 02 110</w:t>
            </w:r>
          </w:p>
        </w:tc>
        <w:tc>
          <w:tcPr>
            <w:tcW w:type="dxa" w:w="3784"/>
          </w:tcPr>
          <w:p>
            <w:pPr>
              <w:spacing w:before="20" w:after="20"/>
            </w:pPr>
            <w:r/>
            <w:r>
              <w:rPr>
                <w:rFonts w:ascii="Verdana" w:hAnsi="Verdana"/>
                <w:b w:val="0"/>
                <w:sz w:val="16"/>
              </w:rPr>
              <w:t>Vitesse angulaire de l'antenne (en élévation)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0 02 132</w:t>
            </w:r>
          </w:p>
        </w:tc>
        <w:tc>
          <w:tcPr>
            <w:tcW w:type="dxa" w:w="3784"/>
          </w:tcPr>
          <w:p>
            <w:pPr>
              <w:spacing w:before="20" w:after="20"/>
            </w:pPr>
            <w:r/>
            <w:r>
              <w:rPr>
                <w:rFonts w:ascii="Verdana" w:hAnsi="Verdana"/>
                <w:b w:val="0"/>
                <w:sz w:val="16"/>
              </w:rPr>
              <w:t>Exactitude du pointage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0 02 133</w:t>
            </w:r>
          </w:p>
        </w:tc>
        <w:tc>
          <w:tcPr>
            <w:tcW w:type="dxa" w:w="3784"/>
          </w:tcPr>
          <w:p>
            <w:pPr>
              <w:spacing w:before="20" w:after="20"/>
            </w:pPr>
            <w:r/>
            <w:r>
              <w:rPr>
                <w:rFonts w:ascii="Verdana" w:hAnsi="Verdana"/>
                <w:b w:val="0"/>
                <w:sz w:val="16"/>
              </w:rPr>
              <w:t>Exactitude de l'angle de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21 011 (Caractéristiques générales)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0 30 031</w:t>
            </w:r>
          </w:p>
        </w:tc>
        <w:tc>
          <w:tcPr>
            <w:tcW w:type="dxa" w:w="3784"/>
          </w:tcPr>
          <w:p>
            <w:pPr>
              <w:spacing w:before="20" w:after="20"/>
            </w:pPr>
            <w:r/>
            <w:r>
              <w:rPr>
                <w:rFonts w:ascii="Verdana" w:hAnsi="Verdana"/>
                <w:b w:val="0"/>
                <w:sz w:val="16"/>
              </w:rPr>
              <w:t>Type d'image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0 30 032</w:t>
            </w:r>
          </w:p>
        </w:tc>
        <w:tc>
          <w:tcPr>
            <w:tcW w:type="dxa" w:w="3784"/>
          </w:tcPr>
          <w:p>
            <w:pPr>
              <w:spacing w:before="20" w:after="20"/>
            </w:pPr>
            <w:r/>
            <w:r>
              <w:rPr>
                <w:rFonts w:ascii="Verdana" w:hAnsi="Verdana"/>
                <w:b w:val="0"/>
                <w:sz w:val="16"/>
              </w:rPr>
              <w:t>Combinaison avec d'autres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Type de grille de coordonnées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21 012 (Angles de site de l'antenne)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0 02 135</w:t>
            </w:r>
          </w:p>
        </w:tc>
        <w:tc>
          <w:tcPr>
            <w:tcW w:type="dxa" w:w="3784"/>
          </w:tcPr>
          <w:p>
            <w:pPr>
              <w:spacing w:before="20" w:after="20"/>
            </w:pPr>
            <w:r/>
            <w:r>
              <w:rPr>
                <w:rFonts w:ascii="Verdana" w:hAnsi="Verdana"/>
                <w:b w:val="0"/>
                <w:sz w:val="16"/>
              </w:rPr>
              <w:t>Angle de site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21 021 (Information de base (système/site) concernant le profileur du vent/ RASS (Système de sondage radio-acoustique))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Type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8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Ouverture de faisceau à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11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11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0 25 001</w:t>
            </w:r>
          </w:p>
        </w:tc>
        <w:tc>
          <w:tcPr>
            <w:tcW w:type="dxa" w:w="3784"/>
          </w:tcPr>
          <w:p>
            <w:pPr>
              <w:spacing w:before="20" w:after="20"/>
            </w:pPr>
            <w:r/>
            <w:r>
              <w:rPr>
                <w:rFonts w:ascii="Verdana" w:hAnsi="Verdana"/>
                <w:b w:val="0"/>
                <w:sz w:val="16"/>
              </w:rPr>
              <w:t>Distance de la porte d'intégration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21 022 (Profileur du vent: données traitées concernant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1 bit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1 bit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21 023 (Profileur du vent: données brutes concernant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0 21 091</w:t>
            </w:r>
          </w:p>
        </w:tc>
        <w:tc>
          <w:tcPr>
            <w:tcW w:type="dxa" w:w="3784"/>
          </w:tcPr>
          <w:p>
            <w:pPr>
              <w:spacing w:before="20" w:after="20"/>
            </w:pPr>
            <w:r/>
            <w:r>
              <w:rPr>
                <w:rFonts w:ascii="Verdana" w:hAnsi="Verdana"/>
                <w:b w:val="0"/>
                <w:sz w:val="16"/>
              </w:rPr>
              <w:t>0ième moment du spectre Doppler du signal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Vitesse Doppler moyenne (radiale)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9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Largeur spectrale de la vitesse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21 024 (Mode RASS: données traitées RASS (Système de sondage radio-acoustique))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1 bit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21 025 (Mode RASS: données brutes RASS (Système de sondage radio-acoustique))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0 21 091</w:t>
            </w:r>
          </w:p>
        </w:tc>
        <w:tc>
          <w:tcPr>
            <w:tcW w:type="dxa" w:w="3784"/>
          </w:tcPr>
          <w:p>
            <w:pPr>
              <w:spacing w:before="20" w:after="20"/>
            </w:pPr>
            <w:r/>
            <w:r>
              <w:rPr>
                <w:rFonts w:ascii="Verdana" w:hAnsi="Verdana"/>
                <w:b w:val="0"/>
                <w:sz w:val="16"/>
              </w:rPr>
              <w:t>0ième moment du spectre Doppler du signal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Vitesse Doppler moyenne (radiale)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9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Largeur spectrale de la vitesse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0 21 092</w:t>
            </w:r>
          </w:p>
        </w:tc>
        <w:tc>
          <w:tcPr>
            <w:tcW w:type="dxa" w:w="3784"/>
          </w:tcPr>
          <w:p>
            <w:pPr>
              <w:spacing w:before="20" w:after="20"/>
            </w:pPr>
            <w:r/>
            <w:r>
              <w:rPr>
                <w:rFonts w:ascii="Verdana" w:hAnsi="Verdana"/>
                <w:b w:val="0"/>
                <w:sz w:val="16"/>
              </w:rPr>
              <w:t>0ième moment du spectre Doppler du signal RASS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Rapport signal-bruit</w:t>
            </w:r>
          </w:p>
        </w:tc>
        <w:tc>
          <w:tcPr>
            <w:tcW w:type="dxa" w:w="3784"/>
          </w:tcPr>
          <w:p>
            <w:pPr>
              <w:spacing w:before="20" w:after="20"/>
            </w:pPr>
            <w:r/>
            <w:r>
              <w:rPr>
                <w:rFonts w:ascii="Verdana" w:hAnsi="Verdana"/>
                <w:b w:val="0"/>
                <w:sz w:val="16"/>
              </w:rPr>
              <w:t>Par rapport au signal RASS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0 25 092</w:t>
            </w:r>
          </w:p>
        </w:tc>
        <w:tc>
          <w:tcPr>
            <w:tcW w:type="dxa" w:w="3784"/>
          </w:tcPr>
          <w:p>
            <w:pPr>
              <w:spacing w:before="20" w:after="20"/>
            </w:pPr>
            <w:r/>
            <w:r>
              <w:rPr>
                <w:rFonts w:ascii="Verdana" w:hAnsi="Verdana"/>
                <w:b w:val="0"/>
                <w:sz w:val="16"/>
              </w:rPr>
              <w:t>Vitesse de propagation acoustique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9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Largeur spectrale de la vitesse Doppler</w:t>
            </w:r>
          </w:p>
        </w:tc>
        <w:tc>
          <w:tcPr>
            <w:tcW w:type="dxa" w:w="3784"/>
          </w:tcPr>
          <w:p>
            <w:pPr>
              <w:spacing w:before="20" w:after="20"/>
            </w:pPr>
            <w:r/>
            <w:r>
              <w:rPr>
                <w:rFonts w:ascii="Verdana" w:hAnsi="Verdana"/>
                <w:b w:val="0"/>
                <w:sz w:val="16"/>
              </w:rPr>
              <w:t>Par rapport au signal RASS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21 026 (Flux de données RASS (Système de sondage radio-acoustique))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1 bit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0 25 091</w:t>
            </w:r>
          </w:p>
        </w:tc>
        <w:tc>
          <w:tcPr>
            <w:tcW w:type="dxa" w:w="3784"/>
          </w:tcPr>
          <w:p>
            <w:pPr>
              <w:spacing w:before="20" w:after="20"/>
            </w:pPr>
            <w:r/>
            <w:r>
              <w:rPr>
                <w:rFonts w:ascii="Verdana" w:hAnsi="Verdana"/>
                <w:b w:val="0"/>
                <w:sz w:val="16"/>
              </w:rPr>
              <w:t>Constante structurelle de l'indice de réfraction (Cn2)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0 11 071</w:t>
            </w:r>
          </w:p>
        </w:tc>
        <w:tc>
          <w:tcPr>
            <w:tcW w:type="dxa" w:w="3784"/>
          </w:tcPr>
          <w:p>
            <w:pPr>
              <w:spacing w:before="20" w:after="20"/>
            </w:pPr>
            <w:r/>
            <w:r>
              <w:rPr>
                <w:rFonts w:ascii="Verdana" w:hAnsi="Verdana"/>
                <w:b w:val="0"/>
                <w:sz w:val="16"/>
              </w:rPr>
              <w:t>Flux de quantités de mouvement vertical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0 11 072</w:t>
            </w:r>
          </w:p>
        </w:tc>
        <w:tc>
          <w:tcPr>
            <w:tcW w:type="dxa" w:w="3784"/>
          </w:tcPr>
          <w:p>
            <w:pPr>
              <w:spacing w:before="20" w:after="20"/>
            </w:pPr>
            <w:r/>
            <w:r>
              <w:rPr>
                <w:rFonts w:ascii="Verdana" w:hAnsi="Verdana"/>
                <w:b w:val="0"/>
                <w:sz w:val="16"/>
              </w:rPr>
              <w:t>Flux de la poussée verticale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0 11 073</w:t>
            </w:r>
          </w:p>
        </w:tc>
        <w:tc>
          <w:tcPr>
            <w:tcW w:type="dxa" w:w="3784"/>
          </w:tcPr>
          <w:p>
            <w:pPr>
              <w:spacing w:before="20" w:after="20"/>
            </w:pPr>
            <w:r/>
            <w:r>
              <w:rPr>
                <w:rFonts w:ascii="Verdana" w:hAnsi="Verdana"/>
                <w:b w:val="0"/>
                <w:sz w:val="16"/>
              </w:rPr>
              <w:t>Énergie cinétique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0 11 074</w:t>
            </w:r>
          </w:p>
        </w:tc>
        <w:tc>
          <w:tcPr>
            <w:tcW w:type="dxa" w:w="3784"/>
          </w:tcPr>
          <w:p>
            <w:pPr>
              <w:spacing w:before="20" w:after="20"/>
            </w:pPr>
            <w:r/>
            <w:r>
              <w:rPr>
                <w:rFonts w:ascii="Verdana" w:hAnsi="Verdana"/>
                <w:b w:val="0"/>
                <w:sz w:val="16"/>
              </w:rPr>
              <w:t>Énergie de dissipation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21 027 (Spécification du radar, surface équivalente radar normalisée, coefficient de variance Kp)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Angle d'ouverture du faisceau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0 21 105</w:t>
            </w:r>
          </w:p>
        </w:tc>
        <w:tc>
          <w:tcPr>
            <w:tcW w:type="dxa" w:w="3784"/>
          </w:tcPr>
          <w:p>
            <w:pPr>
              <w:spacing w:before="20" w:after="20"/>
            </w:pPr>
            <w:r/>
            <w:r>
              <w:rPr>
                <w:rFonts w:ascii="Verdana" w:hAnsi="Verdana"/>
                <w:b w:val="0"/>
                <w:sz w:val="16"/>
              </w:rPr>
              <w:t>Surface équivalente radar normalisée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0 21 106</w:t>
            </w:r>
          </w:p>
        </w:tc>
        <w:tc>
          <w:tcPr>
            <w:tcW w:type="dxa" w:w="3784"/>
          </w:tcPr>
          <w:p>
            <w:pPr>
              <w:spacing w:before="20" w:after="20"/>
            </w:pPr>
            <w:r/>
            <w:r>
              <w:rPr>
                <w:rFonts w:ascii="Verdana" w:hAnsi="Verdana"/>
                <w:b w:val="0"/>
                <w:sz w:val="16"/>
              </w:rPr>
              <w:t>Coefficient de variance Kp (alpha)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0 21 107</w:t>
            </w:r>
          </w:p>
        </w:tc>
        <w:tc>
          <w:tcPr>
            <w:tcW w:type="dxa" w:w="3784"/>
          </w:tcPr>
          <w:p>
            <w:pPr>
              <w:spacing w:before="20" w:after="20"/>
            </w:pPr>
            <w:r/>
            <w:r>
              <w:rPr>
                <w:rFonts w:ascii="Verdana" w:hAnsi="Verdana"/>
                <w:b w:val="0"/>
                <w:sz w:val="16"/>
              </w:rPr>
              <w:t>Coefficient de variance Kp (bêta)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0 21 114</w:t>
            </w:r>
          </w:p>
        </w:tc>
        <w:tc>
          <w:tcPr>
            <w:tcW w:type="dxa" w:w="3784"/>
          </w:tcPr>
          <w:p>
            <w:pPr>
              <w:spacing w:before="20" w:after="20"/>
            </w:pPr>
            <w:r/>
            <w:r>
              <w:rPr>
                <w:rFonts w:ascii="Verdana" w:hAnsi="Verdana"/>
                <w:b w:val="0"/>
                <w:sz w:val="16"/>
              </w:rPr>
              <w:t>Coefficient de variance Kp (gamma)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0 21 115</w:t>
            </w:r>
          </w:p>
        </w:tc>
        <w:tc>
          <w:tcPr>
            <w:tcW w:type="dxa" w:w="3784"/>
          </w:tcPr>
          <w:p>
            <w:pPr>
              <w:spacing w:before="20" w:after="20"/>
            </w:pPr>
            <w:r/>
            <w:r>
              <w:rPr>
                <w:rFonts w:ascii="Verdana" w:hAnsi="Verdana"/>
                <w:b w:val="0"/>
                <w:sz w:val="16"/>
              </w:rPr>
              <w:t>Qualité de sigma-0 déterminée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0 21 116</w:t>
            </w:r>
          </w:p>
        </w:tc>
        <w:tc>
          <w:tcPr>
            <w:tcW w:type="dxa" w:w="3784"/>
          </w:tcPr>
          <w:p>
            <w:pPr>
              <w:spacing w:before="20" w:after="20"/>
            </w:pPr>
            <w:r/>
            <w:r>
              <w:rPr>
                <w:rFonts w:ascii="Verdana" w:hAnsi="Verdana"/>
                <w:b w:val="0"/>
                <w:sz w:val="16"/>
              </w:rPr>
              <w:t>Mode de sigma-0 déterminé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0 08 018</w:t>
            </w:r>
          </w:p>
        </w:tc>
        <w:tc>
          <w:tcPr>
            <w:tcW w:type="dxa" w:w="3784"/>
          </w:tcPr>
          <w:p>
            <w:pPr>
              <w:spacing w:before="20" w:after="20"/>
            </w:pPr>
            <w:r/>
            <w:r>
              <w:rPr>
                <w:rFonts w:ascii="Verdana" w:hAnsi="Verdana"/>
                <w:b w:val="0"/>
                <w:sz w:val="16"/>
              </w:rPr>
              <w:t>Type de surface terre/glace mesurée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0 21 117</w:t>
            </w:r>
          </w:p>
        </w:tc>
        <w:tc>
          <w:tcPr>
            <w:tcW w:type="dxa" w:w="3784"/>
          </w:tcPr>
          <w:p>
            <w:pPr>
              <w:spacing w:before="20" w:after="20"/>
            </w:pPr>
            <w:r/>
            <w:r>
              <w:rPr>
                <w:rFonts w:ascii="Verdana" w:hAnsi="Verdana"/>
                <w:b w:val="0"/>
                <w:sz w:val="16"/>
              </w:rPr>
              <w:t>Contrôle de la qualité de la variance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21 028 (Spécification du radar, surface équivalente radar normalisée mesurée par SEAWINDS, coefficient de variance Kp)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Correction d'atténuation sur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Angle d'ouverture du faisceau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0 21 123</w:t>
            </w:r>
          </w:p>
        </w:tc>
        <w:tc>
          <w:tcPr>
            <w:tcW w:type="dxa" w:w="3784"/>
          </w:tcPr>
          <w:p>
            <w:pPr>
              <w:spacing w:before="20" w:after="20"/>
            </w:pPr>
            <w:r/>
            <w:r>
              <w:rPr>
                <w:rFonts w:ascii="Verdana" w:hAnsi="Verdana"/>
                <w:b w:val="0"/>
                <w:sz w:val="16"/>
              </w:rPr>
              <w:t>Surface équivalente radar normalisée mesurée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0 21 106</w:t>
            </w:r>
          </w:p>
        </w:tc>
        <w:tc>
          <w:tcPr>
            <w:tcW w:type="dxa" w:w="3784"/>
          </w:tcPr>
          <w:p>
            <w:pPr>
              <w:spacing w:before="20" w:after="20"/>
            </w:pPr>
            <w:r/>
            <w:r>
              <w:rPr>
                <w:rFonts w:ascii="Verdana" w:hAnsi="Verdana"/>
                <w:b w:val="0"/>
                <w:sz w:val="16"/>
              </w:rPr>
              <w:t>Coefficient de variance Kp (alpha)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0 21 107</w:t>
            </w:r>
          </w:p>
        </w:tc>
        <w:tc>
          <w:tcPr>
            <w:tcW w:type="dxa" w:w="3784"/>
          </w:tcPr>
          <w:p>
            <w:pPr>
              <w:spacing w:before="20" w:after="20"/>
            </w:pPr>
            <w:r/>
            <w:r>
              <w:rPr>
                <w:rFonts w:ascii="Verdana" w:hAnsi="Verdana"/>
                <w:b w:val="0"/>
                <w:sz w:val="16"/>
              </w:rPr>
              <w:t>Coefficient de variance Kp (bêta)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0 21 114</w:t>
            </w:r>
          </w:p>
        </w:tc>
        <w:tc>
          <w:tcPr>
            <w:tcW w:type="dxa" w:w="3784"/>
          </w:tcPr>
          <w:p>
            <w:pPr>
              <w:spacing w:before="20" w:after="20"/>
            </w:pPr>
            <w:r/>
            <w:r>
              <w:rPr>
                <w:rFonts w:ascii="Verdana" w:hAnsi="Verdana"/>
                <w:b w:val="0"/>
                <w:sz w:val="16"/>
              </w:rPr>
              <w:t>Coefficient de variance Kp (gamma)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0 21 115</w:t>
            </w:r>
          </w:p>
        </w:tc>
        <w:tc>
          <w:tcPr>
            <w:tcW w:type="dxa" w:w="3784"/>
          </w:tcPr>
          <w:p>
            <w:pPr>
              <w:spacing w:before="20" w:after="20"/>
            </w:pPr>
            <w:r/>
            <w:r>
              <w:rPr>
                <w:rFonts w:ascii="Verdana" w:hAnsi="Verdana"/>
                <w:b w:val="0"/>
                <w:sz w:val="16"/>
              </w:rPr>
              <w:t>Qualité de sigma-0 déterminée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0 21 116</w:t>
            </w:r>
          </w:p>
        </w:tc>
        <w:tc>
          <w:tcPr>
            <w:tcW w:type="dxa" w:w="3784"/>
          </w:tcPr>
          <w:p>
            <w:pPr>
              <w:spacing w:before="20" w:after="20"/>
            </w:pPr>
            <w:r/>
            <w:r>
              <w:rPr>
                <w:rFonts w:ascii="Verdana" w:hAnsi="Verdana"/>
                <w:b w:val="0"/>
                <w:sz w:val="16"/>
              </w:rPr>
              <w:t>Mode de sigma-0 déterminé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0 08 018</w:t>
            </w:r>
          </w:p>
        </w:tc>
        <w:tc>
          <w:tcPr>
            <w:tcW w:type="dxa" w:w="3784"/>
          </w:tcPr>
          <w:p>
            <w:pPr>
              <w:spacing w:before="20" w:after="20"/>
            </w:pPr>
            <w:r/>
            <w:r>
              <w:rPr>
                <w:rFonts w:ascii="Verdana" w:hAnsi="Verdana"/>
                <w:b w:val="0"/>
                <w:sz w:val="16"/>
              </w:rPr>
              <w:t>Type de surface terre/glace mesurée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0 21 117</w:t>
            </w:r>
          </w:p>
        </w:tc>
        <w:tc>
          <w:tcPr>
            <w:tcW w:type="dxa" w:w="3784"/>
          </w:tcPr>
          <w:p>
            <w:pPr>
              <w:spacing w:before="20" w:after="20"/>
            </w:pPr>
            <w:r/>
            <w:r>
              <w:rPr>
                <w:rFonts w:ascii="Verdana" w:hAnsi="Verdana"/>
                <w:b w:val="0"/>
                <w:sz w:val="16"/>
              </w:rPr>
              <w:t>Contrôle de la qualité de la variance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21 030 (Sigma-0 ASCAT)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Identification du faisceau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Augmenter l'échelle de 101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3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Azimut du faisceau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Résolution radiométrique (valeur du 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0 21 158</w:t>
            </w:r>
          </w:p>
        </w:tc>
        <w:tc>
          <w:tcPr>
            <w:tcW w:type="dxa" w:w="3784"/>
          </w:tcPr>
          <w:p>
            <w:pPr>
              <w:spacing w:before="20" w:after="20"/>
            </w:pPr>
            <w:r/>
            <w:r>
              <w:rPr>
                <w:rFonts w:ascii="Verdana" w:hAnsi="Verdana"/>
                <w:b w:val="0"/>
                <w:sz w:val="16"/>
              </w:rPr>
              <w:t>Qualité de l'estimation de la Kp,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0 21 159</w:t>
            </w:r>
          </w:p>
        </w:tc>
        <w:tc>
          <w:tcPr>
            <w:tcW w:type="dxa" w:w="3784"/>
          </w:tcPr>
          <w:p>
            <w:pPr>
              <w:spacing w:before="20" w:after="20"/>
            </w:pPr>
            <w:r/>
            <w:r>
              <w:rPr>
                <w:rFonts w:ascii="Verdana" w:hAnsi="Verdana"/>
                <w:b w:val="0"/>
                <w:sz w:val="16"/>
              </w:rPr>
              <w:t>Utilité des sigma-0,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0 21 160</w:t>
            </w:r>
          </w:p>
        </w:tc>
        <w:tc>
          <w:tcPr>
            <w:tcW w:type="dxa" w:w="3784"/>
          </w:tcPr>
          <w:p>
            <w:pPr>
              <w:spacing w:before="20" w:after="20"/>
            </w:pPr>
            <w:r/>
            <w:r>
              <w:rPr>
                <w:rFonts w:ascii="Verdana" w:hAnsi="Verdana"/>
                <w:b w:val="0"/>
                <w:sz w:val="16"/>
              </w:rPr>
              <w:t>Utilisation de données synthétiques,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0 21 161</w:t>
            </w:r>
          </w:p>
        </w:tc>
        <w:tc>
          <w:tcPr>
            <w:tcW w:type="dxa" w:w="3784"/>
          </w:tcPr>
          <w:p>
            <w:pPr>
              <w:spacing w:before="20" w:after="20"/>
            </w:pPr>
            <w:r/>
            <w:r>
              <w:rPr>
                <w:rFonts w:ascii="Verdana" w:hAnsi="Verdana"/>
                <w:b w:val="0"/>
                <w:sz w:val="16"/>
              </w:rPr>
              <w:t>Quantité des données synthétiques,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0 21 162</w:t>
            </w:r>
          </w:p>
        </w:tc>
        <w:tc>
          <w:tcPr>
            <w:tcW w:type="dxa" w:w="3784"/>
          </w:tcPr>
          <w:p>
            <w:pPr>
              <w:spacing w:before="20" w:after="20"/>
            </w:pPr>
            <w:r/>
            <w:r>
              <w:rPr>
                <w:rFonts w:ascii="Verdana" w:hAnsi="Verdana"/>
                <w:b w:val="0"/>
                <w:sz w:val="16"/>
              </w:rPr>
              <w:t>Qualité de l'orbite et de l'attitude du satellite,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0 21 163</w:t>
            </w:r>
          </w:p>
        </w:tc>
        <w:tc>
          <w:tcPr>
            <w:tcW w:type="dxa" w:w="3784"/>
          </w:tcPr>
          <w:p>
            <w:pPr>
              <w:spacing w:before="20" w:after="20"/>
            </w:pPr>
            <w:r/>
            <w:r>
              <w:rPr>
                <w:rFonts w:ascii="Verdana" w:hAnsi="Verdana"/>
                <w:b w:val="0"/>
                <w:sz w:val="16"/>
              </w:rPr>
              <w:t>Contamination par réflexion sur panneau solaire,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0 21 164</w:t>
            </w:r>
          </w:p>
        </w:tc>
        <w:tc>
          <w:tcPr>
            <w:tcW w:type="dxa" w:w="3784"/>
          </w:tcPr>
          <w:p>
            <w:pPr>
              <w:spacing w:before="20" w:after="20"/>
            </w:pPr>
            <w:r/>
            <w:r>
              <w:rPr>
                <w:rFonts w:ascii="Verdana" w:hAnsi="Verdana"/>
                <w:b w:val="0"/>
                <w:sz w:val="16"/>
              </w:rPr>
              <w:t>Présence et qualité des télémesures,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0 21 165</w:t>
            </w:r>
          </w:p>
        </w:tc>
        <w:tc>
          <w:tcPr>
            <w:tcW w:type="dxa" w:w="3784"/>
          </w:tcPr>
          <w:p>
            <w:pPr>
              <w:spacing w:before="20" w:after="20"/>
            </w:pPr>
            <w:r/>
            <w:r>
              <w:rPr>
                <w:rFonts w:ascii="Verdana" w:hAnsi="Verdana"/>
                <w:b w:val="0"/>
                <w:sz w:val="16"/>
              </w:rPr>
              <w:t>Fonction de référence extrapolée,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Fraction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