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40 : Séquence de messages supplémentaires d'observation par satellites</w:t>
      </w:r>
    </w:p>
    <w:p>
      <w:r>
        <w:rPr>
          <w:rFonts w:ascii="Verdana" w:hAnsi="Verdana"/>
          <w:b/>
          <w:sz w:val="18"/>
        </w:rPr>
        <w:t>3 40 001 (Données IASI de niveau 1c)</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Ajouter 3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10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5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4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Numéro de paquet principal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Soustraire 2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0 33 060</w:t>
            </w:r>
          </w:p>
        </w:tc>
        <w:tc>
          <w:tcPr>
            <w:tcW w:type="dxa" w:w="3784"/>
          </w:tcPr>
          <w:p>
            <w:pPr>
              <w:spacing w:before="20" w:after="20"/>
            </w:pPr>
            <w:r/>
            <w:r>
              <w:rPr>
                <w:rFonts w:ascii="Verdana" w:hAnsi="Verdana"/>
                <w:b w:val="0"/>
                <w:sz w:val="16"/>
              </w:rPr>
              <w:t>GqisFlagQual - indicateur de qualité du système IASI pour chaque mesure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0 33 061</w:t>
            </w:r>
          </w:p>
        </w:tc>
        <w:tc>
          <w:tcPr>
            <w:tcW w:type="dxa" w:w="3784"/>
          </w:tcPr>
          <w:p>
            <w:pPr>
              <w:spacing w:before="20" w:after="20"/>
            </w:pPr>
            <w:r/>
            <w:r>
              <w:rPr>
                <w:rFonts w:ascii="Verdana" w:hAnsi="Verdana"/>
                <w:b w:val="0"/>
                <w:sz w:val="16"/>
              </w:rPr>
              <w:t>GqisQualIndex - indicateur de caractéristique de bruit de l'instrument (par étalonnage spectral et étalonnage radiométrique)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0 33 062</w:t>
            </w:r>
          </w:p>
        </w:tc>
        <w:tc>
          <w:tcPr>
            <w:tcW w:type="dxa" w:w="3784"/>
          </w:tcPr>
          <w:p>
            <w:pPr>
              <w:spacing w:before="20" w:after="20"/>
            </w:pPr>
            <w:r/>
            <w:r>
              <w:rPr>
                <w:rFonts w:ascii="Verdana" w:hAnsi="Verdana"/>
                <w:b w:val="0"/>
                <w:sz w:val="16"/>
              </w:rPr>
              <w:t>GqisQualIndexLoc - indicateur d'indice de qualité géométrique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0 33 063</w:t>
            </w:r>
          </w:p>
        </w:tc>
        <w:tc>
          <w:tcPr>
            <w:tcW w:type="dxa" w:w="3784"/>
          </w:tcPr>
          <w:p>
            <w:pPr>
              <w:spacing w:before="20" w:after="20"/>
            </w:pPr>
            <w:r/>
            <w:r>
              <w:rPr>
                <w:rFonts w:ascii="Verdana" w:hAnsi="Verdana"/>
                <w:b w:val="0"/>
                <w:sz w:val="16"/>
              </w:rPr>
              <w:t>GqisQualIndexRad - indicateur de caractéristique de bruit de l'instrument (par étalonnage radiométrique)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0 33 064</w:t>
            </w:r>
          </w:p>
        </w:tc>
        <w:tc>
          <w:tcPr>
            <w:tcW w:type="dxa" w:w="3784"/>
          </w:tcPr>
          <w:p>
            <w:pPr>
              <w:spacing w:before="20" w:after="20"/>
            </w:pPr>
            <w:r/>
            <w:r>
              <w:rPr>
                <w:rFonts w:ascii="Verdana" w:hAnsi="Verdana"/>
                <w:b w:val="0"/>
                <w:sz w:val="16"/>
              </w:rPr>
              <w:t>GqisQualIndexSpect - indicateur de caractéristique de bruit de l'instrument (par étalonnage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0 33 065</w:t>
            </w:r>
          </w:p>
        </w:tc>
        <w:tc>
          <w:tcPr>
            <w:tcW w:type="dxa" w:w="3784"/>
          </w:tcPr>
          <w:p>
            <w:pPr>
              <w:spacing w:before="20" w:after="20"/>
            </w:pPr>
            <w:r/>
            <w:r>
              <w:rPr>
                <w:rFonts w:ascii="Verdana" w:hAnsi="Verdana"/>
                <w:b w:val="0"/>
                <w:sz w:val="16"/>
              </w:rPr>
              <w:t>GqisSysTecSondQual - sortie de la fonction qualité du Centre d'expertise technique du système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1 01 010</w:t>
            </w:r>
          </w:p>
        </w:tc>
        <w:tc>
          <w:tcPr>
            <w:tcW w:type="dxa" w:w="3784"/>
          </w:tcPr>
          <w:p>
            <w:pPr>
              <w:spacing w:before="20" w:after="20"/>
            </w:pPr>
            <w:r/>
            <w:r>
              <w:rPr>
                <w:rFonts w:ascii="Verdana" w:hAnsi="Verdana"/>
                <w:b w:val="0"/>
                <w:sz w:val="16"/>
              </w:rPr>
              <w:t>Répéter 1 descripteur 10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3 40 002</w:t>
            </w:r>
          </w:p>
        </w:tc>
        <w:tc>
          <w:tcPr>
            <w:tcW w:type="dxa" w:w="3784"/>
          </w:tcPr>
          <w:p>
            <w:pPr>
              <w:spacing w:before="20" w:after="20"/>
            </w:pPr>
            <w:r/>
            <w:r>
              <w:rPr>
                <w:rFonts w:ascii="Verdana" w:hAnsi="Verdana"/>
                <w:b w:val="0"/>
                <w:sz w:val="16"/>
              </w:rPr>
              <w:t>Description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1 01 087</w:t>
            </w:r>
          </w:p>
        </w:tc>
        <w:tc>
          <w:tcPr>
            <w:tcW w:type="dxa" w:w="3784"/>
          </w:tcPr>
          <w:p>
            <w:pPr>
              <w:spacing w:before="20" w:after="20"/>
            </w:pPr>
            <w:r/>
            <w:r>
              <w:rPr>
                <w:rFonts w:ascii="Verdana" w:hAnsi="Verdana"/>
                <w:b w:val="0"/>
                <w:sz w:val="16"/>
              </w:rPr>
              <w:t>Répéter 1 descripteur 87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3 40 003</w:t>
            </w:r>
          </w:p>
        </w:tc>
        <w:tc>
          <w:tcPr>
            <w:tcW w:type="dxa" w:w="3784"/>
          </w:tcPr>
          <w:p>
            <w:pPr>
              <w:spacing w:before="20" w:after="20"/>
            </w:pPr>
            <w:r/>
            <w:r>
              <w:rPr>
                <w:rFonts w:ascii="Verdana" w:hAnsi="Verdana"/>
                <w:b w:val="0"/>
                <w:sz w:val="16"/>
              </w:rPr>
              <w:t>Séquence 100 canaux, IASI niveau 1c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0 25 051</w:t>
            </w:r>
          </w:p>
        </w:tc>
        <w:tc>
          <w:tcPr>
            <w:tcW w:type="dxa" w:w="3784"/>
          </w:tcPr>
          <w:p>
            <w:pPr>
              <w:spacing w:before="20" w:after="20"/>
            </w:pPr>
            <w:r/>
            <w:r>
              <w:rPr>
                <w:rFonts w:ascii="Verdana" w:hAnsi="Verdana"/>
                <w:b w:val="0"/>
                <w:sz w:val="16"/>
              </w:rPr>
              <w:t>Combinaison de canaux de radiomètre 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1 01 007</w:t>
            </w:r>
          </w:p>
        </w:tc>
        <w:tc>
          <w:tcPr>
            <w:tcW w:type="dxa" w:w="3784"/>
          </w:tcPr>
          <w:p>
            <w:pPr>
              <w:spacing w:before="20" w:after="20"/>
            </w:pPr>
            <w:r/>
            <w:r>
              <w:rPr>
                <w:rFonts w:ascii="Verdana" w:hAnsi="Verdana"/>
                <w:b w:val="0"/>
                <w:sz w:val="16"/>
              </w:rPr>
              <w:t>Répéter 1 descripteur 7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3 40 004</w:t>
            </w:r>
          </w:p>
        </w:tc>
        <w:tc>
          <w:tcPr>
            <w:tcW w:type="dxa" w:w="3784"/>
          </w:tcPr>
          <w:p>
            <w:pPr>
              <w:spacing w:before="20" w:after="20"/>
            </w:pPr>
            <w:r/>
            <w:r>
              <w:rPr>
                <w:rFonts w:ascii="Verdana" w:hAnsi="Verdana"/>
                <w:b w:val="0"/>
                <w:sz w:val="16"/>
              </w:rPr>
              <w:t>Séquence une scène AVHRR, IASI niveau 1c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40 002 (Description de bande)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Début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Fin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0 25 142</w:t>
            </w:r>
          </w:p>
        </w:tc>
        <w:tc>
          <w:tcPr>
            <w:tcW w:type="dxa" w:w="3784"/>
          </w:tcPr>
          <w:p>
            <w:pPr>
              <w:spacing w:before="20" w:after="20"/>
            </w:pPr>
            <w:r/>
            <w:r>
              <w:rPr>
                <w:rFonts w:ascii="Verdana" w:hAnsi="Verdana"/>
                <w:b w:val="0"/>
                <w:sz w:val="16"/>
              </w:rPr>
              <w:t>Facteur d'échelle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40 003 (Séquence 100 canaux, IASI niveau 1c)</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1 04 100</w:t>
            </w:r>
          </w:p>
        </w:tc>
        <w:tc>
          <w:tcPr>
            <w:tcW w:type="dxa" w:w="3784"/>
          </w:tcPr>
          <w:p>
            <w:pPr>
              <w:spacing w:before="20" w:after="20"/>
            </w:pPr>
            <w:r/>
            <w:r>
              <w:rPr>
                <w:rFonts w:ascii="Verdana" w:hAnsi="Verdana"/>
                <w:b w:val="0"/>
                <w:sz w:val="16"/>
              </w:rPr>
              <w:t>Répéter 4 descripteurs 100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8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0 14 046</w:t>
            </w:r>
          </w:p>
        </w:tc>
        <w:tc>
          <w:tcPr>
            <w:tcW w:type="dxa" w:w="3784"/>
          </w:tcPr>
          <w:p>
            <w:pPr>
              <w:spacing w:before="20" w:after="20"/>
            </w:pPr>
            <w:r/>
            <w:r>
              <w:rPr>
                <w:rFonts w:ascii="Verdana" w:hAnsi="Verdana"/>
                <w:b w:val="0"/>
                <w:sz w:val="16"/>
              </w:rPr>
              <w:t>Luminance énergétique mise à l'échelle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40 004 (Séquence une scène AVHRR, IASI niveau 1c)</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0 05 060</w:t>
            </w:r>
          </w:p>
        </w:tc>
        <w:tc>
          <w:tcPr>
            <w:tcW w:type="dxa" w:w="3784"/>
          </w:tcPr>
          <w:p>
            <w:pPr>
              <w:spacing w:before="20" w:after="20"/>
            </w:pPr>
            <w:r/>
            <w:r>
              <w:rPr>
                <w:rFonts w:ascii="Verdana" w:hAnsi="Verdana"/>
                <w:b w:val="0"/>
                <w:sz w:val="16"/>
              </w:rPr>
              <w:t>Position angulaire selon Y du centre de gravité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0 05 061</w:t>
            </w:r>
          </w:p>
        </w:tc>
        <w:tc>
          <w:tcPr>
            <w:tcW w:type="dxa" w:w="3784"/>
          </w:tcPr>
          <w:p>
            <w:pPr>
              <w:spacing w:before="20" w:after="20"/>
            </w:pPr>
            <w:r/>
            <w:r>
              <w:rPr>
                <w:rFonts w:ascii="Verdana" w:hAnsi="Verdana"/>
                <w:b w:val="0"/>
                <w:sz w:val="16"/>
              </w:rPr>
              <w:t>Position angulaire selon Z du centre de gravité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0 25 085</w:t>
            </w:r>
          </w:p>
        </w:tc>
        <w:tc>
          <w:tcPr>
            <w:tcW w:type="dxa" w:w="3784"/>
          </w:tcPr>
          <w:p>
            <w:pPr>
              <w:spacing w:before="20" w:after="20"/>
            </w:pPr>
            <w:r/>
            <w:r>
              <w:rPr>
                <w:rFonts w:ascii="Verdana" w:hAnsi="Verdana"/>
                <w:b w:val="0"/>
                <w:sz w:val="16"/>
              </w:rPr>
              <w:t>Fraction de pixels clairs dans le champ de vision du sondeur HIRS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1 05 006</w:t>
            </w:r>
          </w:p>
        </w:tc>
        <w:tc>
          <w:tcPr>
            <w:tcW w:type="dxa" w:w="3784"/>
          </w:tcPr>
          <w:p>
            <w:pPr>
              <w:spacing w:before="20" w:after="20"/>
            </w:pPr>
            <w:r/>
            <w:r>
              <w:rPr>
                <w:rFonts w:ascii="Verdana" w:hAnsi="Verdana"/>
                <w:b w:val="0"/>
                <w:sz w:val="16"/>
              </w:rPr>
              <w:t>Répéter 5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0 25 142</w:t>
            </w:r>
          </w:p>
        </w:tc>
        <w:tc>
          <w:tcPr>
            <w:tcW w:type="dxa" w:w="3784"/>
          </w:tcPr>
          <w:p>
            <w:pPr>
              <w:spacing w:before="20" w:after="20"/>
            </w:pPr>
            <w:r/>
            <w:r>
              <w:rPr>
                <w:rFonts w:ascii="Verdana" w:hAnsi="Verdana"/>
                <w:b w:val="0"/>
                <w:sz w:val="16"/>
              </w:rPr>
              <w:t>Facteur d'échelle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0 14 047</w:t>
            </w:r>
          </w:p>
        </w:tc>
        <w:tc>
          <w:tcPr>
            <w:tcW w:type="dxa" w:w="3784"/>
          </w:tcPr>
          <w:p>
            <w:pPr>
              <w:spacing w:before="20" w:after="20"/>
            </w:pPr>
            <w:r/>
            <w:r>
              <w:rPr>
                <w:rFonts w:ascii="Verdana" w:hAnsi="Verdana"/>
                <w:b w:val="0"/>
                <w:sz w:val="16"/>
              </w:rPr>
              <w:t>Luminance moyenne AVHRR mise à l'échelle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0 25 142</w:t>
            </w:r>
          </w:p>
        </w:tc>
        <w:tc>
          <w:tcPr>
            <w:tcW w:type="dxa" w:w="3784"/>
          </w:tcPr>
          <w:p>
            <w:pPr>
              <w:spacing w:before="20" w:after="20"/>
            </w:pPr>
            <w:r/>
            <w:r>
              <w:rPr>
                <w:rFonts w:ascii="Verdana" w:hAnsi="Verdana"/>
                <w:b w:val="0"/>
                <w:sz w:val="16"/>
              </w:rPr>
              <w:t>Facteur d'échelle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0 14 048</w:t>
            </w:r>
          </w:p>
        </w:tc>
        <w:tc>
          <w:tcPr>
            <w:tcW w:type="dxa" w:w="3784"/>
          </w:tcPr>
          <w:p>
            <w:pPr>
              <w:spacing w:before="20" w:after="20"/>
            </w:pPr>
            <w:r/>
            <w:r>
              <w:rPr>
                <w:rFonts w:ascii="Verdana" w:hAnsi="Verdana"/>
                <w:b w:val="0"/>
                <w:sz w:val="16"/>
              </w:rPr>
              <w:t>Écart type de la luminance AVHRR mise à l'échelle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40 005 (Données OGDR de la mission JASON-2)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14: Si des «valeurs substituées» sont indiquées, c'est que l'élément de données de la partie d'origine du message est vraisemblablement de mauvaise qualité. Cet élément est cependant conservé dans le message d'origine tel qu'il a été reçu; une valeur plus correcte a été introduite dans le message suivant l'opérateur de valeurs substituées. Si plusieurs substitutions sont à effectuer pour un même élément de données, elles doivent être placées dans un ordre tel que la première substitution se situe en premier, suivie de la substitution suivante, elle-même suivie de la suivante, etc. Ainsi, la «meilleure» valeur se trouvera à la fin de l'ensemble de valeurs substituées. Chaque valeur ou série de valeurs substituées est indiquée par la présence de l'opérateur 2 23 000.</w:t>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Numéro de cycle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Indicatif du modèle numérique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Secondes par minute (à la microseconde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0 08 074</w:t>
            </w:r>
          </w:p>
        </w:tc>
        <w:tc>
          <w:tcPr>
            <w:tcW w:type="dxa" w:w="3784"/>
          </w:tcPr>
          <w:p>
            <w:pPr>
              <w:spacing w:before="20" w:after="20"/>
            </w:pPr>
            <w:r/>
            <w:r>
              <w:rPr>
                <w:rFonts w:ascii="Verdana" w:hAnsi="Verdana"/>
                <w:b w:val="0"/>
                <w:sz w:val="16"/>
              </w:rPr>
              <w:t>Type d'écho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Type de surface détecté par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Indicateur d'interpolation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0 25 097</w:t>
            </w:r>
          </w:p>
        </w:tc>
        <w:tc>
          <w:tcPr>
            <w:tcW w:type="dxa" w:w="3784"/>
          </w:tcPr>
          <w:p>
            <w:pPr>
              <w:spacing w:before="20" w:after="20"/>
            </w:pPr>
            <w:r/>
            <w:r>
              <w:rPr>
                <w:rFonts w:ascii="Verdana" w:hAnsi="Verdana"/>
                <w:b w:val="0"/>
                <w:sz w:val="16"/>
              </w:rPr>
              <w:t>Erreur tridimensionnelle estimative de l'orbite du navigateur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0 25 095</w:t>
            </w:r>
          </w:p>
        </w:tc>
        <w:tc>
          <w:tcPr>
            <w:tcW w:type="dxa" w:w="3784"/>
          </w:tcPr>
          <w:p>
            <w:pPr>
              <w:spacing w:before="20" w:after="20"/>
            </w:pPr>
            <w:r/>
            <w:r>
              <w:rPr>
                <w:rFonts w:ascii="Verdana" w:hAnsi="Verdana"/>
                <w:b w:val="0"/>
                <w:sz w:val="16"/>
              </w:rPr>
              <w:t>Indicateur de l'état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0 25 098</w:t>
            </w:r>
          </w:p>
        </w:tc>
        <w:tc>
          <w:tcPr>
            <w:tcW w:type="dxa" w:w="3784"/>
          </w:tcPr>
          <w:p>
            <w:pPr>
              <w:spacing w:before="20" w:after="20"/>
            </w:pPr>
            <w:r/>
            <w:r>
              <w:rPr>
                <w:rFonts w:ascii="Verdana" w:hAnsi="Verdana"/>
                <w:b w:val="0"/>
                <w:sz w:val="16"/>
              </w:rPr>
              <w:t>Indicateur de qualité des données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0 25 099</w:t>
            </w:r>
          </w:p>
        </w:tc>
        <w:tc>
          <w:tcPr>
            <w:tcW w:type="dxa" w:w="3784"/>
          </w:tcPr>
          <w:p>
            <w:pPr>
              <w:spacing w:before="20" w:after="20"/>
            </w:pPr>
            <w:r/>
            <w:r>
              <w:rPr>
                <w:rFonts w:ascii="Verdana" w:hAnsi="Verdana"/>
                <w:b w:val="0"/>
                <w:sz w:val="16"/>
              </w:rPr>
              <w:t>Indicateur de qualité de la correction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Indicateur de pluie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0 25 096</w:t>
            </w:r>
          </w:p>
        </w:tc>
        <w:tc>
          <w:tcPr>
            <w:tcW w:type="dxa" w:w="3784"/>
          </w:tcPr>
          <w:p>
            <w:pPr>
              <w:spacing w:before="20" w:after="20"/>
            </w:pPr>
            <w:r/>
            <w:r>
              <w:rPr>
                <w:rFonts w:ascii="Verdana" w:hAnsi="Verdana"/>
                <w:b w:val="0"/>
                <w:sz w:val="16"/>
              </w:rPr>
              <w:t>Indicateur de l'état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0 40 012</w:t>
            </w:r>
          </w:p>
        </w:tc>
        <w:tc>
          <w:tcPr>
            <w:tcW w:type="dxa" w:w="3784"/>
          </w:tcPr>
          <w:p>
            <w:pPr>
              <w:spacing w:before="20" w:after="20"/>
            </w:pPr>
            <w:r/>
            <w:r>
              <w:rPr>
                <w:rFonts w:ascii="Verdana" w:hAnsi="Verdana"/>
                <w:b w:val="0"/>
                <w:sz w:val="16"/>
              </w:rPr>
              <w:t>Indicateur de qualité des données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0 40 013</w:t>
            </w:r>
          </w:p>
        </w:tc>
        <w:tc>
          <w:tcPr>
            <w:tcW w:type="dxa" w:w="3784"/>
          </w:tcPr>
          <w:p>
            <w:pPr>
              <w:spacing w:before="20" w:after="20"/>
            </w:pPr>
            <w:r/>
            <w:r>
              <w:rPr>
                <w:rFonts w:ascii="Verdana" w:hAnsi="Verdana"/>
                <w:b w:val="0"/>
                <w:sz w:val="16"/>
              </w:rPr>
              <w:t>Indicateur d'interprétation de la température de luminance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Indicateur de présence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0 22 151</w:t>
            </w:r>
          </w:p>
        </w:tc>
        <w:tc>
          <w:tcPr>
            <w:tcW w:type="dxa" w:w="3784"/>
          </w:tcPr>
          <w:p>
            <w:pPr>
              <w:spacing w:before="20" w:after="20"/>
            </w:pPr>
            <w:r/>
            <w:r>
              <w:rPr>
                <w:rFonts w:ascii="Verdana" w:hAnsi="Verdana"/>
                <w:b w:val="0"/>
                <w:sz w:val="16"/>
              </w:rPr>
              <w:t>Intervalle océanique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0 22 162</w:t>
            </w:r>
          </w:p>
        </w:tc>
        <w:tc>
          <w:tcPr>
            <w:tcW w:type="dxa" w:w="3784"/>
          </w:tcPr>
          <w:p>
            <w:pPr>
              <w:spacing w:before="20" w:after="20"/>
            </w:pPr>
            <w:r/>
            <w:r>
              <w:rPr>
                <w:rFonts w:ascii="Verdana" w:hAnsi="Verdana"/>
                <w:b w:val="0"/>
                <w:sz w:val="16"/>
              </w:rPr>
              <w:t>Moyenne quadratique de l'intervalle océanique à 20 Hz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0 22 163</w:t>
            </w:r>
          </w:p>
        </w:tc>
        <w:tc>
          <w:tcPr>
            <w:tcW w:type="dxa" w:w="3784"/>
          </w:tcPr>
          <w:p>
            <w:pPr>
              <w:spacing w:before="20" w:after="20"/>
            </w:pPr>
            <w:r/>
            <w:r>
              <w:rPr>
                <w:rFonts w:ascii="Verdana" w:hAnsi="Verdana"/>
                <w:b w:val="0"/>
                <w:sz w:val="16"/>
              </w:rPr>
              <w:t>Nombre de points corrects à 20 Hz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0 25 160</w:t>
            </w:r>
          </w:p>
        </w:tc>
        <w:tc>
          <w:tcPr>
            <w:tcW w:type="dxa" w:w="3784"/>
          </w:tcPr>
          <w:p>
            <w:pPr>
              <w:spacing w:before="20" w:after="20"/>
            </w:pPr>
            <w:r/>
            <w:r>
              <w:rPr>
                <w:rFonts w:ascii="Verdana" w:hAnsi="Verdana"/>
                <w:b w:val="0"/>
                <w:sz w:val="16"/>
              </w:rPr>
              <w:t>Correction finale de l'erreur instrumentale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0 25 133</w:t>
            </w:r>
          </w:p>
        </w:tc>
        <w:tc>
          <w:tcPr>
            <w:tcW w:type="dxa" w:w="3784"/>
          </w:tcPr>
          <w:p>
            <w:pPr>
              <w:spacing w:before="20" w:after="20"/>
            </w:pPr>
            <w:r/>
            <w:r>
              <w:rPr>
                <w:rFonts w:ascii="Verdana" w:hAnsi="Verdana"/>
                <w:b w:val="0"/>
                <w:sz w:val="16"/>
              </w:rPr>
              <w:t>Correction du biais d'état de la mer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0 22 156</w:t>
            </w:r>
          </w:p>
        </w:tc>
        <w:tc>
          <w:tcPr>
            <w:tcW w:type="dxa" w:w="3784"/>
          </w:tcPr>
          <w:p>
            <w:pPr>
              <w:spacing w:before="20" w:after="20"/>
            </w:pPr>
            <w:r/>
            <w:r>
              <w:rPr>
                <w:rFonts w:ascii="Verdana" w:hAnsi="Verdana"/>
                <w:b w:val="0"/>
                <w:sz w:val="16"/>
              </w:rPr>
              <w:t>Hauteur des vagues significative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0 22 164</w:t>
            </w:r>
          </w:p>
        </w:tc>
        <w:tc>
          <w:tcPr>
            <w:tcW w:type="dxa" w:w="3784"/>
          </w:tcPr>
          <w:p>
            <w:pPr>
              <w:spacing w:before="20" w:after="20"/>
            </w:pPr>
            <w:r/>
            <w:r>
              <w:rPr>
                <w:rFonts w:ascii="Verdana" w:hAnsi="Verdana"/>
                <w:b w:val="0"/>
                <w:sz w:val="16"/>
              </w:rPr>
              <w:t>Moyenne quadratique de la hauteur des vagues significative à 20 Hz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0 22 165</w:t>
            </w:r>
          </w:p>
        </w:tc>
        <w:tc>
          <w:tcPr>
            <w:tcW w:type="dxa" w:w="3784"/>
          </w:tcPr>
          <w:p>
            <w:pPr>
              <w:spacing w:before="20" w:after="20"/>
            </w:pPr>
            <w:r/>
            <w:r>
              <w:rPr>
                <w:rFonts w:ascii="Verdana" w:hAnsi="Verdana"/>
                <w:b w:val="0"/>
                <w:sz w:val="16"/>
              </w:rPr>
              <w:t>Nombre de points corrects à 20 Hz pour la hauteur des vagues significative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0 22 166</w:t>
            </w:r>
          </w:p>
        </w:tc>
        <w:tc>
          <w:tcPr>
            <w:tcW w:type="dxa" w:w="3784"/>
          </w:tcPr>
          <w:p>
            <w:pPr>
              <w:spacing w:before="20" w:after="20"/>
            </w:pPr>
            <w:r/>
            <w:r>
              <w:rPr>
                <w:rFonts w:ascii="Verdana" w:hAnsi="Verdana"/>
                <w:b w:val="0"/>
                <w:sz w:val="16"/>
              </w:rPr>
              <w:t>Correction finale de l'erreur instrumentale pour la hauteur des vagues significative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0 21 137</w:t>
            </w:r>
          </w:p>
        </w:tc>
        <w:tc>
          <w:tcPr>
            <w:tcW w:type="dxa" w:w="3784"/>
          </w:tcPr>
          <w:p>
            <w:pPr>
              <w:spacing w:before="20" w:after="20"/>
            </w:pPr>
            <w:r/>
            <w:r>
              <w:rPr>
                <w:rFonts w:ascii="Verdana" w:hAnsi="Verdana"/>
                <w:b w:val="0"/>
                <w:sz w:val="16"/>
              </w:rPr>
              <w:t>Coefficient de rétrodiffusion corrigé pour l'océan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0 21 138</w:t>
            </w:r>
          </w:p>
        </w:tc>
        <w:tc>
          <w:tcPr>
            <w:tcW w:type="dxa" w:w="3784"/>
          </w:tcPr>
          <w:p>
            <w:pPr>
              <w:spacing w:before="20" w:after="20"/>
            </w:pPr>
            <w:r/>
            <w:r>
              <w:rPr>
                <w:rFonts w:ascii="Verdana" w:hAnsi="Verdana"/>
                <w:b w:val="0"/>
                <w:sz w:val="16"/>
              </w:rPr>
              <w:t>Coefficient de rétrodiffusion corrigé type pour l'océan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0 22 167</w:t>
            </w:r>
          </w:p>
        </w:tc>
        <w:tc>
          <w:tcPr>
            <w:tcW w:type="dxa" w:w="3784"/>
          </w:tcPr>
          <w:p>
            <w:pPr>
              <w:spacing w:before="20" w:after="20"/>
            </w:pPr>
            <w:r/>
            <w:r>
              <w:rPr>
                <w:rFonts w:ascii="Verdana" w:hAnsi="Verdana"/>
                <w:b w:val="0"/>
                <w:sz w:val="16"/>
              </w:rPr>
              <w:t>Nombre de points corrects de rétrodiffusion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0 21 139</w:t>
            </w:r>
          </w:p>
        </w:tc>
        <w:tc>
          <w:tcPr>
            <w:tcW w:type="dxa" w:w="3784"/>
          </w:tcPr>
          <w:p>
            <w:pPr>
              <w:spacing w:before="20" w:after="20"/>
            </w:pPr>
            <w:r/>
            <w:r>
              <w:rPr>
                <w:rFonts w:ascii="Verdana" w:hAnsi="Verdana"/>
                <w:b w:val="0"/>
                <w:sz w:val="16"/>
              </w:rPr>
              <w:t>Correction finale de l'erreur instrumentale pour la 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Correction d'atténuation sur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0 21 145</w:t>
            </w:r>
          </w:p>
        </w:tc>
        <w:tc>
          <w:tcPr>
            <w:tcW w:type="dxa" w:w="3784"/>
          </w:tcPr>
          <w:p>
            <w:pPr>
              <w:spacing w:before="20" w:after="20"/>
            </w:pPr>
            <w:r/>
            <w:r>
              <w:rPr>
                <w:rFonts w:ascii="Verdana" w:hAnsi="Verdana"/>
                <w:b w:val="0"/>
                <w:sz w:val="16"/>
              </w:rPr>
              <w:t>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0 21 146</w:t>
            </w:r>
          </w:p>
        </w:tc>
        <w:tc>
          <w:tcPr>
            <w:tcW w:type="dxa" w:w="3784"/>
          </w:tcPr>
          <w:p>
            <w:pPr>
              <w:spacing w:before="20" w:after="20"/>
            </w:pPr>
            <w:r/>
            <w:r>
              <w:rPr>
                <w:rFonts w:ascii="Verdana" w:hAnsi="Verdana"/>
                <w:b w:val="0"/>
                <w:sz w:val="16"/>
              </w:rPr>
              <w:t>Moyenne quadratique de la 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0 21 147</w:t>
            </w:r>
          </w:p>
        </w:tc>
        <w:tc>
          <w:tcPr>
            <w:tcW w:type="dxa" w:w="3784"/>
          </w:tcPr>
          <w:p>
            <w:pPr>
              <w:spacing w:before="20" w:after="20"/>
            </w:pPr>
            <w:r/>
            <w:r>
              <w:rPr>
                <w:rFonts w:ascii="Verdana" w:hAnsi="Verdana"/>
                <w:b w:val="0"/>
                <w:sz w:val="16"/>
              </w:rPr>
              <w:t>Nombre de points corrects pour la 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0 22 168</w:t>
            </w:r>
          </w:p>
        </w:tc>
        <w:tc>
          <w:tcPr>
            <w:tcW w:type="dxa" w:w="3784"/>
          </w:tcPr>
          <w:p>
            <w:pPr>
              <w:spacing w:before="20" w:after="20"/>
            </w:pPr>
            <w:r/>
            <w:r>
              <w:rPr>
                <w:rFonts w:ascii="Verdana" w:hAnsi="Verdana"/>
                <w:b w:val="0"/>
                <w:sz w:val="16"/>
              </w:rPr>
              <w:t>Intervalle océanique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0 22 169</w:t>
            </w:r>
          </w:p>
        </w:tc>
        <w:tc>
          <w:tcPr>
            <w:tcW w:type="dxa" w:w="3784"/>
          </w:tcPr>
          <w:p>
            <w:pPr>
              <w:spacing w:before="20" w:after="20"/>
            </w:pPr>
            <w:r/>
            <w:r>
              <w:rPr>
                <w:rFonts w:ascii="Verdana" w:hAnsi="Verdana"/>
                <w:b w:val="0"/>
                <w:sz w:val="16"/>
              </w:rPr>
              <w:t>Moyenne quadratique de l'intervalle océanique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0 22 170</w:t>
            </w:r>
          </w:p>
        </w:tc>
        <w:tc>
          <w:tcPr>
            <w:tcW w:type="dxa" w:w="3784"/>
          </w:tcPr>
          <w:p>
            <w:pPr>
              <w:spacing w:before="20" w:after="20"/>
            </w:pPr>
            <w:r/>
            <w:r>
              <w:rPr>
                <w:rFonts w:ascii="Verdana" w:hAnsi="Verdana"/>
                <w:b w:val="0"/>
                <w:sz w:val="16"/>
              </w:rPr>
              <w:t>Nombre de points corrects à 20 Hz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0 25 161</w:t>
            </w:r>
          </w:p>
        </w:tc>
        <w:tc>
          <w:tcPr>
            <w:tcW w:type="dxa" w:w="3784"/>
          </w:tcPr>
          <w:p>
            <w:pPr>
              <w:spacing w:before="20" w:after="20"/>
            </w:pPr>
            <w:r/>
            <w:r>
              <w:rPr>
                <w:rFonts w:ascii="Verdana" w:hAnsi="Verdana"/>
                <w:b w:val="0"/>
                <w:sz w:val="16"/>
              </w:rPr>
              <w:t>Correction finale de l'erreur instrumentale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0 25 162</w:t>
            </w:r>
          </w:p>
        </w:tc>
        <w:tc>
          <w:tcPr>
            <w:tcW w:type="dxa" w:w="3784"/>
          </w:tcPr>
          <w:p>
            <w:pPr>
              <w:spacing w:before="20" w:after="20"/>
            </w:pPr>
            <w:r/>
            <w:r>
              <w:rPr>
                <w:rFonts w:ascii="Verdana" w:hAnsi="Verdana"/>
                <w:b w:val="0"/>
                <w:sz w:val="16"/>
              </w:rPr>
              <w:t>Correction du biais d'état de la mer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0 22 171</w:t>
            </w:r>
          </w:p>
        </w:tc>
        <w:tc>
          <w:tcPr>
            <w:tcW w:type="dxa" w:w="3784"/>
          </w:tcPr>
          <w:p>
            <w:pPr>
              <w:spacing w:before="20" w:after="20"/>
            </w:pPr>
            <w:r/>
            <w:r>
              <w:rPr>
                <w:rFonts w:ascii="Verdana" w:hAnsi="Verdana"/>
                <w:b w:val="0"/>
                <w:sz w:val="16"/>
              </w:rPr>
              <w:t>Hauteur des vagues significative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0 22 172</w:t>
            </w:r>
          </w:p>
        </w:tc>
        <w:tc>
          <w:tcPr>
            <w:tcW w:type="dxa" w:w="3784"/>
          </w:tcPr>
          <w:p>
            <w:pPr>
              <w:spacing w:before="20" w:after="20"/>
            </w:pPr>
            <w:r/>
            <w:r>
              <w:rPr>
                <w:rFonts w:ascii="Verdana" w:hAnsi="Verdana"/>
                <w:b w:val="0"/>
                <w:sz w:val="16"/>
              </w:rPr>
              <w:t>Moyenne quadratique de la hauteur des vagues significative à 20 Hz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0 22 173</w:t>
            </w:r>
          </w:p>
        </w:tc>
        <w:tc>
          <w:tcPr>
            <w:tcW w:type="dxa" w:w="3784"/>
          </w:tcPr>
          <w:p>
            <w:pPr>
              <w:spacing w:before="20" w:after="20"/>
            </w:pPr>
            <w:r/>
            <w:r>
              <w:rPr>
                <w:rFonts w:ascii="Verdana" w:hAnsi="Verdana"/>
                <w:b w:val="0"/>
                <w:sz w:val="16"/>
              </w:rPr>
              <w:t>Nombre de points corrects à 20 Hz pour la hauteur des vagues significative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0 22 174</w:t>
            </w:r>
          </w:p>
        </w:tc>
        <w:tc>
          <w:tcPr>
            <w:tcW w:type="dxa" w:w="3784"/>
          </w:tcPr>
          <w:p>
            <w:pPr>
              <w:spacing w:before="20" w:after="20"/>
            </w:pPr>
            <w:r/>
            <w:r>
              <w:rPr>
                <w:rFonts w:ascii="Verdana" w:hAnsi="Verdana"/>
                <w:b w:val="0"/>
                <w:sz w:val="16"/>
              </w:rPr>
              <w:t>Correction finale de l'erreur instrumentale pour la hauteur des vagues significative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0 21 170</w:t>
            </w:r>
          </w:p>
        </w:tc>
        <w:tc>
          <w:tcPr>
            <w:tcW w:type="dxa" w:w="3784"/>
          </w:tcPr>
          <w:p>
            <w:pPr>
              <w:spacing w:before="20" w:after="20"/>
            </w:pPr>
            <w:r/>
            <w:r>
              <w:rPr>
                <w:rFonts w:ascii="Verdana" w:hAnsi="Verdana"/>
                <w:b w:val="0"/>
                <w:sz w:val="16"/>
              </w:rPr>
              <w:t>Coefficient de rétrodiffusion corrigé pour l'océan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0 21 171</w:t>
            </w:r>
          </w:p>
        </w:tc>
        <w:tc>
          <w:tcPr>
            <w:tcW w:type="dxa" w:w="3784"/>
          </w:tcPr>
          <w:p>
            <w:pPr>
              <w:spacing w:before="20" w:after="20"/>
            </w:pPr>
            <w:r/>
            <w:r>
              <w:rPr>
                <w:rFonts w:ascii="Verdana" w:hAnsi="Verdana"/>
                <w:b w:val="0"/>
                <w:sz w:val="16"/>
              </w:rPr>
              <w:t>Moyenne quadratique du coefficient de rétrodiffusion corrigé pour l'océan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0 22 175</w:t>
            </w:r>
          </w:p>
        </w:tc>
        <w:tc>
          <w:tcPr>
            <w:tcW w:type="dxa" w:w="3784"/>
          </w:tcPr>
          <w:p>
            <w:pPr>
              <w:spacing w:before="20" w:after="20"/>
            </w:pPr>
            <w:r/>
            <w:r>
              <w:rPr>
                <w:rFonts w:ascii="Verdana" w:hAnsi="Verdana"/>
                <w:b w:val="0"/>
                <w:sz w:val="16"/>
              </w:rPr>
              <w:t>Nombre de points corrects de rétrodiffusion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0 21 172</w:t>
            </w:r>
          </w:p>
        </w:tc>
        <w:tc>
          <w:tcPr>
            <w:tcW w:type="dxa" w:w="3784"/>
          </w:tcPr>
          <w:p>
            <w:pPr>
              <w:spacing w:before="20" w:after="20"/>
            </w:pPr>
            <w:r/>
            <w:r>
              <w:rPr>
                <w:rFonts w:ascii="Verdana" w:hAnsi="Verdana"/>
                <w:b w:val="0"/>
                <w:sz w:val="16"/>
              </w:rPr>
              <w:t>Correction finale de l'erreur instrumentale pour la commande automatique de gain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Correction d'atténuation sur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0 21 173</w:t>
            </w:r>
          </w:p>
        </w:tc>
        <w:tc>
          <w:tcPr>
            <w:tcW w:type="dxa" w:w="3784"/>
          </w:tcPr>
          <w:p>
            <w:pPr>
              <w:spacing w:before="20" w:after="20"/>
            </w:pPr>
            <w:r/>
            <w:r>
              <w:rPr>
                <w:rFonts w:ascii="Verdana" w:hAnsi="Verdana"/>
                <w:b w:val="0"/>
                <w:sz w:val="16"/>
              </w:rPr>
              <w:t>Commande automatique de gain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0 21 174</w:t>
            </w:r>
          </w:p>
        </w:tc>
        <w:tc>
          <w:tcPr>
            <w:tcW w:type="dxa" w:w="3784"/>
          </w:tcPr>
          <w:p>
            <w:pPr>
              <w:spacing w:before="20" w:after="20"/>
            </w:pPr>
            <w:r/>
            <w:r>
              <w:rPr>
                <w:rFonts w:ascii="Verdana" w:hAnsi="Verdana"/>
                <w:b w:val="0"/>
                <w:sz w:val="16"/>
              </w:rPr>
              <w:t>Moyenne quadratique de la commande automatique de gain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0 21 175</w:t>
            </w:r>
          </w:p>
        </w:tc>
        <w:tc>
          <w:tcPr>
            <w:tcW w:type="dxa" w:w="3784"/>
          </w:tcPr>
          <w:p>
            <w:pPr>
              <w:spacing w:before="20" w:after="20"/>
            </w:pPr>
            <w:r/>
            <w:r>
              <w:rPr>
                <w:rFonts w:ascii="Verdana" w:hAnsi="Verdana"/>
                <w:b w:val="0"/>
                <w:sz w:val="16"/>
              </w:rPr>
              <w:t>Nombre de points corrects pour la commande automatique de gain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Teneur en vapeur d'eau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Teneur en eau liquide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Vitesse du vent indiquée par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0 11 098</w:t>
            </w:r>
          </w:p>
        </w:tc>
        <w:tc>
          <w:tcPr>
            <w:tcW w:type="dxa" w:w="3784"/>
          </w:tcPr>
          <w:p>
            <w:pPr>
              <w:spacing w:before="20" w:after="20"/>
            </w:pPr>
            <w:r/>
            <w:r>
              <w:rPr>
                <w:rFonts w:ascii="Verdana" w:hAnsi="Verdana"/>
                <w:b w:val="0"/>
                <w:sz w:val="16"/>
              </w:rPr>
              <w:t>Vitesse du vent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Topographie dynamique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du centre de gravité au-dessus de l'ellipsoïde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Taux de variation d'altitude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0 10 083</w:t>
            </w:r>
          </w:p>
        </w:tc>
        <w:tc>
          <w:tcPr>
            <w:tcW w:type="dxa" w:w="3784"/>
          </w:tcPr>
          <w:p>
            <w:pPr>
              <w:spacing w:before="20" w:after="20"/>
            </w:pPr>
            <w:r/>
            <w:r>
              <w:rPr>
                <w:rFonts w:ascii="Verdana" w:hAnsi="Verdana"/>
                <w:b w:val="0"/>
                <w:sz w:val="16"/>
              </w:rPr>
              <w:t>Carré de l'angle de décalage du satellite par rapport au nadir, calculé à partir de l'assiette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Carré de l'angle de décalage du satellite par rapport au nadir, calculé à partir de la forme des 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0 25 132</w:t>
            </w:r>
          </w:p>
        </w:tc>
        <w:tc>
          <w:tcPr>
            <w:tcW w:type="dxa" w:w="3784"/>
          </w:tcPr>
          <w:p>
            <w:pPr>
              <w:spacing w:before="20" w:after="20"/>
            </w:pPr>
            <w:r/>
            <w:r>
              <w:rPr>
                <w:rFonts w:ascii="Verdana" w:hAnsi="Verdana"/>
                <w:b w:val="0"/>
                <w:sz w:val="16"/>
              </w:rPr>
              <w:t>Correction ionosphérique - modèle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0 25 163</w:t>
            </w:r>
          </w:p>
        </w:tc>
        <w:tc>
          <w:tcPr>
            <w:tcW w:type="dxa" w:w="3784"/>
          </w:tcPr>
          <w:p>
            <w:pPr>
              <w:spacing w:before="20" w:after="20"/>
            </w:pPr>
            <w:r/>
            <w:r>
              <w:rPr>
                <w:rFonts w:ascii="Verdana" w:hAnsi="Verdana"/>
                <w:b w:val="0"/>
                <w:sz w:val="16"/>
              </w:rPr>
              <w:t>Correction ionosphérique de l'altimètre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Correction de troposphère sèche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Correction de troposphère humide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Correction de troposphère humide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Hauteur moyenne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0 10 097</w:t>
            </w:r>
          </w:p>
        </w:tc>
        <w:tc>
          <w:tcPr>
            <w:tcW w:type="dxa" w:w="3784"/>
          </w:tcPr>
          <w:p>
            <w:pPr>
              <w:spacing w:before="20" w:after="20"/>
            </w:pPr>
            <w:r/>
            <w:r>
              <w:rPr>
                <w:rFonts w:ascii="Verdana" w:hAnsi="Verdana"/>
                <w:b w:val="0"/>
                <w:sz w:val="16"/>
              </w:rPr>
              <w:t>Hauteur moyenne de la surface de la mer fournie par l'altimètre seulement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Hauteur du géoïde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Profondeur de l'océan ou altitude des terres émergées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Hauteur de marée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Hauteur géocentrique totale de marée océanique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Hauteur géocentrique totale de marée océanique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Hauteur de la marée de charge pour le calcul de la marée géocentrique -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Hauteur de la marée de charge pour le calcul de la marée géocentrique -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Hauteur de marée pour une période prolongée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Hauteur de marée pour une période prolongée hors d'équilibre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Hauteur géocentrique de marée polaire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Correction de baromètre inverse</w:t>
            </w:r>
          </w:p>
        </w:tc>
        <w:tc>
          <w:tcPr>
            <w:tcW w:type="dxa" w:w="3784"/>
          </w:tcPr>
          <w:p>
            <w:pPr>
              <w:spacing w:before="20" w:after="20"/>
            </w:pPr>
            <w:r/>
            <w:r>
              <w:rPr>
                <w:rFonts w:ascii="Verdana" w:hAnsi="Verdana"/>
                <w:b w:val="0"/>
                <w:sz w:val="16"/>
              </w:rPr>
              <w:t>Correction de la hauteur de la surface de la mer due à une charge barométrique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Fluctuations haute fréquence de la correction topographique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40 007 (Données IASI de niveau 1c (tous canaux))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Ajouter 3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10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5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4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Numéro de paquet principal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Soustraire 2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Répéter 3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Début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Fin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0 33 060</w:t>
            </w:r>
          </w:p>
        </w:tc>
        <w:tc>
          <w:tcPr>
            <w:tcW w:type="dxa" w:w="3784"/>
          </w:tcPr>
          <w:p>
            <w:pPr>
              <w:spacing w:before="20" w:after="20"/>
            </w:pPr>
            <w:r/>
            <w:r>
              <w:rPr>
                <w:rFonts w:ascii="Verdana" w:hAnsi="Verdana"/>
                <w:b w:val="0"/>
                <w:sz w:val="16"/>
              </w:rPr>
              <w:t>GqisFlagQual - indicateur de qualité du système IASI pour chaque mesure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0 33 061</w:t>
            </w:r>
          </w:p>
        </w:tc>
        <w:tc>
          <w:tcPr>
            <w:tcW w:type="dxa" w:w="3784"/>
          </w:tcPr>
          <w:p>
            <w:pPr>
              <w:spacing w:before="20" w:after="20"/>
            </w:pPr>
            <w:r/>
            <w:r>
              <w:rPr>
                <w:rFonts w:ascii="Verdana" w:hAnsi="Verdana"/>
                <w:b w:val="0"/>
                <w:sz w:val="16"/>
              </w:rPr>
              <w:t>GqisQualIndex - indicateur de caractéristique de bruit de l'instrument (par étalonnage spectral et étalonnage radiométrique)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0 33 062</w:t>
            </w:r>
          </w:p>
        </w:tc>
        <w:tc>
          <w:tcPr>
            <w:tcW w:type="dxa" w:w="3784"/>
          </w:tcPr>
          <w:p>
            <w:pPr>
              <w:spacing w:before="20" w:after="20"/>
            </w:pPr>
            <w:r/>
            <w:r>
              <w:rPr>
                <w:rFonts w:ascii="Verdana" w:hAnsi="Verdana"/>
                <w:b w:val="0"/>
                <w:sz w:val="16"/>
              </w:rPr>
              <w:t>GqisQualIndexLoc - indicateur d'indice de qualité géométrique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0 33 063</w:t>
            </w:r>
          </w:p>
        </w:tc>
        <w:tc>
          <w:tcPr>
            <w:tcW w:type="dxa" w:w="3784"/>
          </w:tcPr>
          <w:p>
            <w:pPr>
              <w:spacing w:before="20" w:after="20"/>
            </w:pPr>
            <w:r/>
            <w:r>
              <w:rPr>
                <w:rFonts w:ascii="Verdana" w:hAnsi="Verdana"/>
                <w:b w:val="0"/>
                <w:sz w:val="16"/>
              </w:rPr>
              <w:t>GqisQualIndexRad - indicateur de caractéristique de bruit de l'instrument (par étalonnage radiométrique)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0 33 064</w:t>
            </w:r>
          </w:p>
        </w:tc>
        <w:tc>
          <w:tcPr>
            <w:tcW w:type="dxa" w:w="3784"/>
          </w:tcPr>
          <w:p>
            <w:pPr>
              <w:spacing w:before="20" w:after="20"/>
            </w:pPr>
            <w:r/>
            <w:r>
              <w:rPr>
                <w:rFonts w:ascii="Verdana" w:hAnsi="Verdana"/>
                <w:b w:val="0"/>
                <w:sz w:val="16"/>
              </w:rPr>
              <w:t>GqisQualIndexSpect - indicateur de caractéristique de bruit de l'instrument (par étalonnage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0 33 065</w:t>
            </w:r>
          </w:p>
        </w:tc>
        <w:tc>
          <w:tcPr>
            <w:tcW w:type="dxa" w:w="3784"/>
          </w:tcPr>
          <w:p>
            <w:pPr>
              <w:spacing w:before="20" w:after="20"/>
            </w:pPr>
            <w:r/>
            <w:r>
              <w:rPr>
                <w:rFonts w:ascii="Verdana" w:hAnsi="Verdana"/>
                <w:b w:val="0"/>
                <w:sz w:val="16"/>
              </w:rPr>
              <w:t>GqisSysTecSondQual - sortie de la fonction qualité du Centre d'expertise technique du système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0 40 020</w:t>
            </w:r>
          </w:p>
        </w:tc>
        <w:tc>
          <w:tcPr>
            <w:tcW w:type="dxa" w:w="3784"/>
          </w:tcPr>
          <w:p>
            <w:pPr>
              <w:spacing w:before="20" w:after="20"/>
            </w:pPr>
            <w:r/>
            <w:r>
              <w:rPr>
                <w:rFonts w:ascii="Verdana" w:hAnsi="Verdana"/>
                <w:b w:val="0"/>
                <w:sz w:val="16"/>
              </w:rPr>
              <w:t>GqisFlagQualDetailed - indicateur de qualité du système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1 01 010</w:t>
            </w:r>
          </w:p>
        </w:tc>
        <w:tc>
          <w:tcPr>
            <w:tcW w:type="dxa" w:w="3784"/>
          </w:tcPr>
          <w:p>
            <w:pPr>
              <w:spacing w:before="20" w:after="20"/>
            </w:pPr>
            <w:r/>
            <w:r>
              <w:rPr>
                <w:rFonts w:ascii="Verdana" w:hAnsi="Verdana"/>
                <w:b w:val="0"/>
                <w:sz w:val="16"/>
              </w:rPr>
              <w:t>Répéter 1 descripteur 10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3 40 002</w:t>
            </w:r>
          </w:p>
        </w:tc>
        <w:tc>
          <w:tcPr>
            <w:tcW w:type="dxa" w:w="3784"/>
          </w:tcPr>
          <w:p>
            <w:pPr>
              <w:spacing w:before="20" w:after="20"/>
            </w:pPr>
            <w:r/>
            <w:r>
              <w:rPr>
                <w:rFonts w:ascii="Verdana" w:hAnsi="Verdana"/>
                <w:b w:val="0"/>
                <w:sz w:val="16"/>
              </w:rPr>
              <w:t>Description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1 01 087</w:t>
            </w:r>
          </w:p>
        </w:tc>
        <w:tc>
          <w:tcPr>
            <w:tcW w:type="dxa" w:w="3784"/>
          </w:tcPr>
          <w:p>
            <w:pPr>
              <w:spacing w:before="20" w:after="20"/>
            </w:pPr>
            <w:r/>
            <w:r>
              <w:rPr>
                <w:rFonts w:ascii="Verdana" w:hAnsi="Verdana"/>
                <w:b w:val="0"/>
                <w:sz w:val="16"/>
              </w:rPr>
              <w:t>Répéter 1 descripteur 87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3 40 003</w:t>
            </w:r>
          </w:p>
        </w:tc>
        <w:tc>
          <w:tcPr>
            <w:tcW w:type="dxa" w:w="3784"/>
          </w:tcPr>
          <w:p>
            <w:pPr>
              <w:spacing w:before="20" w:after="20"/>
            </w:pPr>
            <w:r/>
            <w:r>
              <w:rPr>
                <w:rFonts w:ascii="Verdana" w:hAnsi="Verdana"/>
                <w:b w:val="0"/>
                <w:sz w:val="16"/>
              </w:rPr>
              <w:t>Séquence 100 canaux, IASI niveau 1c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0 25 051</w:t>
            </w:r>
          </w:p>
        </w:tc>
        <w:tc>
          <w:tcPr>
            <w:tcW w:type="dxa" w:w="3784"/>
          </w:tcPr>
          <w:p>
            <w:pPr>
              <w:spacing w:before="20" w:after="20"/>
            </w:pPr>
            <w:r/>
            <w:r>
              <w:rPr>
                <w:rFonts w:ascii="Verdana" w:hAnsi="Verdana"/>
                <w:b w:val="0"/>
                <w:sz w:val="16"/>
              </w:rPr>
              <w:t>Combinaison de canaux de radiomètre 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1 01 007</w:t>
            </w:r>
          </w:p>
        </w:tc>
        <w:tc>
          <w:tcPr>
            <w:tcW w:type="dxa" w:w="3784"/>
          </w:tcPr>
          <w:p>
            <w:pPr>
              <w:spacing w:before="20" w:after="20"/>
            </w:pPr>
            <w:r/>
            <w:r>
              <w:rPr>
                <w:rFonts w:ascii="Verdana" w:hAnsi="Verdana"/>
                <w:b w:val="0"/>
                <w:sz w:val="16"/>
              </w:rPr>
              <w:t>Répéter 1 descripteur 7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3 40 004</w:t>
            </w:r>
          </w:p>
        </w:tc>
        <w:tc>
          <w:tcPr>
            <w:tcW w:type="dxa" w:w="3784"/>
          </w:tcPr>
          <w:p>
            <w:pPr>
              <w:spacing w:before="20" w:after="20"/>
            </w:pPr>
            <w:r/>
            <w:r>
              <w:rPr>
                <w:rFonts w:ascii="Verdana" w:hAnsi="Verdana"/>
                <w:b w:val="0"/>
                <w:sz w:val="16"/>
              </w:rPr>
              <w:t>Séquence une scène AVHRR, IASI niveau 1c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Partie du segment couverte par la scène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0 40 018</w:t>
            </w:r>
          </w:p>
        </w:tc>
        <w:tc>
          <w:tcPr>
            <w:tcW w:type="dxa" w:w="3784"/>
          </w:tcPr>
          <w:p>
            <w:pPr>
              <w:spacing w:before="20" w:after="20"/>
            </w:pPr>
            <w:r/>
            <w:r>
              <w:rPr>
                <w:rFonts w:ascii="Verdana" w:hAnsi="Verdana"/>
                <w:b w:val="0"/>
                <w:sz w:val="16"/>
              </w:rPr>
              <w:t>GIacAvgImagIIS - moyenne des mesures de l'imageur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0 40 019</w:t>
            </w:r>
          </w:p>
        </w:tc>
        <w:tc>
          <w:tcPr>
            <w:tcW w:type="dxa" w:w="3784"/>
          </w:tcPr>
          <w:p>
            <w:pPr>
              <w:spacing w:before="20" w:after="20"/>
            </w:pPr>
            <w:r/>
            <w:r>
              <w:rPr>
                <w:rFonts w:ascii="Verdana" w:hAnsi="Verdana"/>
                <w:b w:val="0"/>
                <w:sz w:val="16"/>
              </w:rPr>
              <w:t>GIacVarImagIIS - variance des mesures de l'imageur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0 40 021</w:t>
            </w:r>
          </w:p>
        </w:tc>
        <w:tc>
          <w:tcPr>
            <w:tcW w:type="dxa" w:w="3784"/>
          </w:tcPr>
          <w:p>
            <w:pPr>
              <w:spacing w:before="20" w:after="20"/>
            </w:pPr>
            <w:r/>
            <w:r>
              <w:rPr>
                <w:rFonts w:ascii="Verdana" w:hAnsi="Verdana"/>
                <w:b w:val="0"/>
                <w:sz w:val="16"/>
              </w:rPr>
              <w:t>Fraction de pixels AVHRR pondérés dans le champ de vision de l'IASI recouvert d'une couche de neige/glace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0 40 022</w:t>
            </w:r>
          </w:p>
        </w:tc>
        <w:tc>
          <w:tcPr>
            <w:tcW w:type="dxa" w:w="3784"/>
          </w:tcPr>
          <w:p>
            <w:pPr>
              <w:spacing w:before="20" w:after="20"/>
            </w:pPr>
            <w:r/>
            <w:r>
              <w:rPr>
                <w:rFonts w:ascii="Verdana" w:hAnsi="Verdana"/>
                <w:b w:val="0"/>
                <w:sz w:val="16"/>
              </w:rPr>
              <w:t>Nombre de pixels AVHRR manquants, erronés ou défaillants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40 008 (Séquence IASI combinant les scores des composantes principales, la sélection des canaux et les données améliorées)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Ajouter 3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10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5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4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Numéro de paquet principal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Soustraire 2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Répéter 3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Début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Fin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0 33 060</w:t>
            </w:r>
          </w:p>
        </w:tc>
        <w:tc>
          <w:tcPr>
            <w:tcW w:type="dxa" w:w="3784"/>
          </w:tcPr>
          <w:p>
            <w:pPr>
              <w:spacing w:before="20" w:after="20"/>
            </w:pPr>
            <w:r/>
            <w:r>
              <w:rPr>
                <w:rFonts w:ascii="Verdana" w:hAnsi="Verdana"/>
                <w:b w:val="0"/>
                <w:sz w:val="16"/>
              </w:rPr>
              <w:t>GqisFlagQual - indicateur de qualité du système IASI pour chaque mesure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0 33 061</w:t>
            </w:r>
          </w:p>
        </w:tc>
        <w:tc>
          <w:tcPr>
            <w:tcW w:type="dxa" w:w="3784"/>
          </w:tcPr>
          <w:p>
            <w:pPr>
              <w:spacing w:before="20" w:after="20"/>
            </w:pPr>
            <w:r/>
            <w:r>
              <w:rPr>
                <w:rFonts w:ascii="Verdana" w:hAnsi="Verdana"/>
                <w:b w:val="0"/>
                <w:sz w:val="16"/>
              </w:rPr>
              <w:t>GqisQualIndex - indicateur de caractéristique de bruit de l'instrument (par étalonnage spectral et étalonnage radiométrique)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0 33 062</w:t>
            </w:r>
          </w:p>
        </w:tc>
        <w:tc>
          <w:tcPr>
            <w:tcW w:type="dxa" w:w="3784"/>
          </w:tcPr>
          <w:p>
            <w:pPr>
              <w:spacing w:before="20" w:after="20"/>
            </w:pPr>
            <w:r/>
            <w:r>
              <w:rPr>
                <w:rFonts w:ascii="Verdana" w:hAnsi="Verdana"/>
                <w:b w:val="0"/>
                <w:sz w:val="16"/>
              </w:rPr>
              <w:t>GqisQualIndexLoc - indicateur d'indice de qualité géométrique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0 33 063</w:t>
            </w:r>
          </w:p>
        </w:tc>
        <w:tc>
          <w:tcPr>
            <w:tcW w:type="dxa" w:w="3784"/>
          </w:tcPr>
          <w:p>
            <w:pPr>
              <w:spacing w:before="20" w:after="20"/>
            </w:pPr>
            <w:r/>
            <w:r>
              <w:rPr>
                <w:rFonts w:ascii="Verdana" w:hAnsi="Verdana"/>
                <w:b w:val="0"/>
                <w:sz w:val="16"/>
              </w:rPr>
              <w:t>GqisQualIndexRad - indicateur de caractéristique de bruit de l'instrument (par étalonnage radiométrique)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0 33 064</w:t>
            </w:r>
          </w:p>
        </w:tc>
        <w:tc>
          <w:tcPr>
            <w:tcW w:type="dxa" w:w="3784"/>
          </w:tcPr>
          <w:p>
            <w:pPr>
              <w:spacing w:before="20" w:after="20"/>
            </w:pPr>
            <w:r/>
            <w:r>
              <w:rPr>
                <w:rFonts w:ascii="Verdana" w:hAnsi="Verdana"/>
                <w:b w:val="0"/>
                <w:sz w:val="16"/>
              </w:rPr>
              <w:t>GqisQualIndexSpect - indicateur de caractéristique de bruit de l'instrument (par étalonnage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0 33 065</w:t>
            </w:r>
          </w:p>
        </w:tc>
        <w:tc>
          <w:tcPr>
            <w:tcW w:type="dxa" w:w="3784"/>
          </w:tcPr>
          <w:p>
            <w:pPr>
              <w:spacing w:before="20" w:after="20"/>
            </w:pPr>
            <w:r/>
            <w:r>
              <w:rPr>
                <w:rFonts w:ascii="Verdana" w:hAnsi="Verdana"/>
                <w:b w:val="0"/>
                <w:sz w:val="16"/>
              </w:rPr>
              <w:t>GqisSysTecSondQual - sortie de la fonction qualité du Centre d'expertise technique du système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0 40 020</w:t>
            </w:r>
          </w:p>
        </w:tc>
        <w:tc>
          <w:tcPr>
            <w:tcW w:type="dxa" w:w="3784"/>
          </w:tcPr>
          <w:p>
            <w:pPr>
              <w:spacing w:before="20" w:after="20"/>
            </w:pPr>
            <w:r/>
            <w:r>
              <w:rPr>
                <w:rFonts w:ascii="Verdana" w:hAnsi="Verdana"/>
                <w:b w:val="0"/>
                <w:sz w:val="16"/>
              </w:rPr>
              <w:t>GqisFlagQualDetailed - indicateur de qualité du système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1 01 010</w:t>
            </w:r>
          </w:p>
        </w:tc>
        <w:tc>
          <w:tcPr>
            <w:tcW w:type="dxa" w:w="3784"/>
          </w:tcPr>
          <w:p>
            <w:pPr>
              <w:spacing w:before="20" w:after="20"/>
            </w:pPr>
            <w:r/>
            <w:r>
              <w:rPr>
                <w:rFonts w:ascii="Verdana" w:hAnsi="Verdana"/>
                <w:b w:val="0"/>
                <w:sz w:val="16"/>
              </w:rPr>
              <w:t>Répéter 1 descripteur 10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3 40 002</w:t>
            </w:r>
          </w:p>
        </w:tc>
        <w:tc>
          <w:tcPr>
            <w:tcW w:type="dxa" w:w="3784"/>
          </w:tcPr>
          <w:p>
            <w:pPr>
              <w:spacing w:before="20" w:after="20"/>
            </w:pPr>
            <w:r/>
            <w:r>
              <w:rPr>
                <w:rFonts w:ascii="Verdana" w:hAnsi="Verdana"/>
                <w:b w:val="0"/>
                <w:sz w:val="16"/>
              </w:rPr>
              <w:t>Description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8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0 14 046</w:t>
            </w:r>
          </w:p>
        </w:tc>
        <w:tc>
          <w:tcPr>
            <w:tcW w:type="dxa" w:w="3784"/>
          </w:tcPr>
          <w:p>
            <w:pPr>
              <w:spacing w:before="20" w:after="20"/>
            </w:pPr>
            <w:r/>
            <w:r>
              <w:rPr>
                <w:rFonts w:ascii="Verdana" w:hAnsi="Verdana"/>
                <w:b w:val="0"/>
                <w:sz w:val="16"/>
              </w:rPr>
              <w:t>Luminance énergétique mise à l'échelle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1 08 003</w:t>
            </w:r>
          </w:p>
        </w:tc>
        <w:tc>
          <w:tcPr>
            <w:tcW w:type="dxa" w:w="3784"/>
          </w:tcPr>
          <w:p>
            <w:pPr>
              <w:spacing w:before="20" w:after="20"/>
            </w:pPr>
            <w:r/>
            <w:r>
              <w:rPr>
                <w:rFonts w:ascii="Verdana" w:hAnsi="Verdana"/>
                <w:b w:val="0"/>
                <w:sz w:val="16"/>
              </w:rPr>
              <w:t>Répéter 8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Début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Fin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0 40 026</w:t>
            </w:r>
          </w:p>
        </w:tc>
        <w:tc>
          <w:tcPr>
            <w:tcW w:type="dxa" w:w="3784"/>
          </w:tcPr>
          <w:p>
            <w:pPr>
              <w:spacing w:before="20" w:after="20"/>
            </w:pPr>
            <w:r/>
            <w:r>
              <w:rPr>
                <w:rFonts w:ascii="Verdana" w:hAnsi="Verdana"/>
                <w:b w:val="0"/>
                <w:sz w:val="16"/>
              </w:rPr>
              <w:t>Facteur de quantification de l'indice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0 40 016</w:t>
            </w:r>
          </w:p>
        </w:tc>
        <w:tc>
          <w:tcPr>
            <w:tcW w:type="dxa" w:w="3784"/>
          </w:tcPr>
          <w:p>
            <w:pPr>
              <w:spacing w:before="20" w:after="20"/>
            </w:pPr>
            <w:r/>
            <w:r>
              <w:rPr>
                <w:rFonts w:ascii="Verdana" w:hAnsi="Verdana"/>
                <w:b w:val="0"/>
                <w:sz w:val="16"/>
              </w:rPr>
              <w:t>Moyenne quadratique résiduelle en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Identification de la base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0 40 017</w:t>
            </w:r>
          </w:p>
        </w:tc>
        <w:tc>
          <w:tcPr>
            <w:tcW w:type="dxa" w:w="3784"/>
          </w:tcPr>
          <w:p>
            <w:pPr>
              <w:spacing w:before="20" w:after="20"/>
            </w:pPr>
            <w:r/>
            <w:r>
              <w:rPr>
                <w:rFonts w:ascii="Verdana" w:hAnsi="Verdana"/>
                <w:b w:val="0"/>
                <w:sz w:val="16"/>
              </w:rPr>
              <w:t>Score des composantes principales non normalisé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0 25 051</w:t>
            </w:r>
          </w:p>
        </w:tc>
        <w:tc>
          <w:tcPr>
            <w:tcW w:type="dxa" w:w="3784"/>
          </w:tcPr>
          <w:p>
            <w:pPr>
              <w:spacing w:before="20" w:after="20"/>
            </w:pPr>
            <w:r/>
            <w:r>
              <w:rPr>
                <w:rFonts w:ascii="Verdana" w:hAnsi="Verdana"/>
                <w:b w:val="0"/>
                <w:sz w:val="16"/>
              </w:rPr>
              <w:t>Combinaison de canaux de radiomètre 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1 01 007</w:t>
            </w:r>
          </w:p>
        </w:tc>
        <w:tc>
          <w:tcPr>
            <w:tcW w:type="dxa" w:w="3784"/>
          </w:tcPr>
          <w:p>
            <w:pPr>
              <w:spacing w:before="20" w:after="20"/>
            </w:pPr>
            <w:r/>
            <w:r>
              <w:rPr>
                <w:rFonts w:ascii="Verdana" w:hAnsi="Verdana"/>
                <w:b w:val="0"/>
                <w:sz w:val="16"/>
              </w:rPr>
              <w:t>Répéter 1 descripteur 7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3 40 004</w:t>
            </w:r>
          </w:p>
        </w:tc>
        <w:tc>
          <w:tcPr>
            <w:tcW w:type="dxa" w:w="3784"/>
          </w:tcPr>
          <w:p>
            <w:pPr>
              <w:spacing w:before="20" w:after="20"/>
            </w:pPr>
            <w:r/>
            <w:r>
              <w:rPr>
                <w:rFonts w:ascii="Verdana" w:hAnsi="Verdana"/>
                <w:b w:val="0"/>
                <w:sz w:val="16"/>
              </w:rPr>
              <w:t>Séquence une scène AVHRR, IASI niveau 1c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Partie du segment couverte par la scène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0 40 018</w:t>
            </w:r>
          </w:p>
        </w:tc>
        <w:tc>
          <w:tcPr>
            <w:tcW w:type="dxa" w:w="3784"/>
          </w:tcPr>
          <w:p>
            <w:pPr>
              <w:spacing w:before="20" w:after="20"/>
            </w:pPr>
            <w:r/>
            <w:r>
              <w:rPr>
                <w:rFonts w:ascii="Verdana" w:hAnsi="Verdana"/>
                <w:b w:val="0"/>
                <w:sz w:val="16"/>
              </w:rPr>
              <w:t>GIacAvgImagIIS - moyenne des mesures de l'imageur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0 40 019</w:t>
            </w:r>
          </w:p>
        </w:tc>
        <w:tc>
          <w:tcPr>
            <w:tcW w:type="dxa" w:w="3784"/>
          </w:tcPr>
          <w:p>
            <w:pPr>
              <w:spacing w:before="20" w:after="20"/>
            </w:pPr>
            <w:r/>
            <w:r>
              <w:rPr>
                <w:rFonts w:ascii="Verdana" w:hAnsi="Verdana"/>
                <w:b w:val="0"/>
                <w:sz w:val="16"/>
              </w:rPr>
              <w:t>GIacVarImagIIS - variance des mesures de l'imageur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0 40 021</w:t>
            </w:r>
          </w:p>
        </w:tc>
        <w:tc>
          <w:tcPr>
            <w:tcW w:type="dxa" w:w="3784"/>
          </w:tcPr>
          <w:p>
            <w:pPr>
              <w:spacing w:before="20" w:after="20"/>
            </w:pPr>
            <w:r/>
            <w:r>
              <w:rPr>
                <w:rFonts w:ascii="Verdana" w:hAnsi="Verdana"/>
                <w:b w:val="0"/>
                <w:sz w:val="16"/>
              </w:rPr>
              <w:t>Fraction de pixels AVHRR pondérés dans le champ de vision de l'IASI recouvert d'une couche de neige/glace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0 40 022</w:t>
            </w:r>
          </w:p>
        </w:tc>
        <w:tc>
          <w:tcPr>
            <w:tcW w:type="dxa" w:w="3784"/>
          </w:tcPr>
          <w:p>
            <w:pPr>
              <w:spacing w:before="20" w:after="20"/>
            </w:pPr>
            <w:r/>
            <w:r>
              <w:rPr>
                <w:rFonts w:ascii="Verdana" w:hAnsi="Verdana"/>
                <w:b w:val="0"/>
                <w:sz w:val="16"/>
              </w:rPr>
              <w:t>Nombre de pixels AVHRR manquants, erronés ou défaillants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40 009 (Indice différentiel normalisé de végétation (NDVI))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8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0 25 071</w:t>
            </w:r>
          </w:p>
        </w:tc>
        <w:tc>
          <w:tcPr>
            <w:tcW w:type="dxa" w:w="3784"/>
          </w:tcPr>
          <w:p>
            <w:pPr>
              <w:spacing w:before="20" w:after="20"/>
            </w:pPr>
            <w:r/>
            <w:r>
              <w:rPr>
                <w:rFonts w:ascii="Verdana" w:hAnsi="Verdana"/>
                <w:b w:val="0"/>
                <w:sz w:val="16"/>
              </w:rPr>
              <w:t>Numéro de paquet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1 07 064</w:t>
            </w:r>
          </w:p>
        </w:tc>
        <w:tc>
          <w:tcPr>
            <w:tcW w:type="dxa" w:w="3784"/>
          </w:tcPr>
          <w:p>
            <w:pPr>
              <w:spacing w:before="20" w:after="20"/>
            </w:pPr>
            <w:r/>
            <w:r>
              <w:rPr>
                <w:rFonts w:ascii="Verdana" w:hAnsi="Verdana"/>
                <w:b w:val="0"/>
                <w:sz w:val="16"/>
              </w:rPr>
              <w:t>Répéter 7 descripteurs 64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1 06 032</w:t>
            </w:r>
          </w:p>
        </w:tc>
        <w:tc>
          <w:tcPr>
            <w:tcW w:type="dxa" w:w="3784"/>
          </w:tcPr>
          <w:p>
            <w:pPr>
              <w:spacing w:before="20" w:after="20"/>
            </w:pPr>
            <w:r/>
            <w:r>
              <w:rPr>
                <w:rFonts w:ascii="Verdana" w:hAnsi="Verdana"/>
                <w:b w:val="0"/>
                <w:sz w:val="16"/>
              </w:rPr>
              <w:t>Répéter 6 descripteurs 32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Identificateur jour/nuit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0 08 065</w:t>
            </w:r>
          </w:p>
        </w:tc>
        <w:tc>
          <w:tcPr>
            <w:tcW w:type="dxa" w:w="3784"/>
          </w:tcPr>
          <w:p>
            <w:pPr>
              <w:spacing w:before="20" w:after="20"/>
            </w:pPr>
            <w:r/>
            <w:r>
              <w:rPr>
                <w:rFonts w:ascii="Verdana" w:hAnsi="Verdana"/>
                <w:b w:val="0"/>
                <w:sz w:val="16"/>
              </w:rPr>
              <w:t>Indicateur de reflet solaire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Type de pixel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0 13 039</w:t>
            </w:r>
          </w:p>
        </w:tc>
        <w:tc>
          <w:tcPr>
            <w:tcW w:type="dxa" w:w="3784"/>
          </w:tcPr>
          <w:p>
            <w:pPr>
              <w:spacing w:before="20" w:after="20"/>
            </w:pPr>
            <w:r/>
            <w:r>
              <w:rPr>
                <w:rFonts w:ascii="Verdana" w:hAnsi="Verdana"/>
                <w:b w:val="0"/>
                <w:sz w:val="16"/>
              </w:rPr>
              <w:t>Type de terrain (glace/neige)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0 40 015</w:t>
            </w:r>
          </w:p>
        </w:tc>
        <w:tc>
          <w:tcPr>
            <w:tcW w:type="dxa" w:w="3784"/>
          </w:tcPr>
          <w:p>
            <w:pPr>
              <w:spacing w:before="20" w:after="20"/>
            </w:pPr>
            <w:r/>
            <w:r>
              <w:rPr>
                <w:rFonts w:ascii="Verdana" w:hAnsi="Verdana"/>
                <w:b w:val="0"/>
                <w:sz w:val="16"/>
              </w:rPr>
              <w:t>Indice différentiel normalisé de végétation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40 010 (Données OGDR de la mission JASON-2)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Numéro de cycle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Indicatif du modèle numérique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Secondes par minute (à la microseconde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0 08 074</w:t>
            </w:r>
          </w:p>
        </w:tc>
        <w:tc>
          <w:tcPr>
            <w:tcW w:type="dxa" w:w="3784"/>
          </w:tcPr>
          <w:p>
            <w:pPr>
              <w:spacing w:before="20" w:after="20"/>
            </w:pPr>
            <w:r/>
            <w:r>
              <w:rPr>
                <w:rFonts w:ascii="Verdana" w:hAnsi="Verdana"/>
                <w:b w:val="0"/>
                <w:sz w:val="16"/>
              </w:rPr>
              <w:t>Type d'écho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Type de surface détecté par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Indicateur d'interpolation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0 25 097</w:t>
            </w:r>
          </w:p>
        </w:tc>
        <w:tc>
          <w:tcPr>
            <w:tcW w:type="dxa" w:w="3784"/>
          </w:tcPr>
          <w:p>
            <w:pPr>
              <w:spacing w:before="20" w:after="20"/>
            </w:pPr>
            <w:r/>
            <w:r>
              <w:rPr>
                <w:rFonts w:ascii="Verdana" w:hAnsi="Verdana"/>
                <w:b w:val="0"/>
                <w:sz w:val="16"/>
              </w:rPr>
              <w:t>Erreur tridimensionnelle estimative de l'orbite du navigateur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0 25 095</w:t>
            </w:r>
          </w:p>
        </w:tc>
        <w:tc>
          <w:tcPr>
            <w:tcW w:type="dxa" w:w="3784"/>
          </w:tcPr>
          <w:p>
            <w:pPr>
              <w:spacing w:before="20" w:after="20"/>
            </w:pPr>
            <w:r/>
            <w:r>
              <w:rPr>
                <w:rFonts w:ascii="Verdana" w:hAnsi="Verdana"/>
                <w:b w:val="0"/>
                <w:sz w:val="16"/>
              </w:rPr>
              <w:t>Indicateur de l'état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0 25 098</w:t>
            </w:r>
          </w:p>
        </w:tc>
        <w:tc>
          <w:tcPr>
            <w:tcW w:type="dxa" w:w="3784"/>
          </w:tcPr>
          <w:p>
            <w:pPr>
              <w:spacing w:before="20" w:after="20"/>
            </w:pPr>
            <w:r/>
            <w:r>
              <w:rPr>
                <w:rFonts w:ascii="Verdana" w:hAnsi="Verdana"/>
                <w:b w:val="0"/>
                <w:sz w:val="16"/>
              </w:rPr>
              <w:t>Indicateur de qualité des données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0 25 099</w:t>
            </w:r>
          </w:p>
        </w:tc>
        <w:tc>
          <w:tcPr>
            <w:tcW w:type="dxa" w:w="3784"/>
          </w:tcPr>
          <w:p>
            <w:pPr>
              <w:spacing w:before="20" w:after="20"/>
            </w:pPr>
            <w:r/>
            <w:r>
              <w:rPr>
                <w:rFonts w:ascii="Verdana" w:hAnsi="Verdana"/>
                <w:b w:val="0"/>
                <w:sz w:val="16"/>
              </w:rPr>
              <w:t>Indicateur de qualité de la correction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Indicateur de pluie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0 25 096</w:t>
            </w:r>
          </w:p>
        </w:tc>
        <w:tc>
          <w:tcPr>
            <w:tcW w:type="dxa" w:w="3784"/>
          </w:tcPr>
          <w:p>
            <w:pPr>
              <w:spacing w:before="20" w:after="20"/>
            </w:pPr>
            <w:r/>
            <w:r>
              <w:rPr>
                <w:rFonts w:ascii="Verdana" w:hAnsi="Verdana"/>
                <w:b w:val="0"/>
                <w:sz w:val="16"/>
              </w:rPr>
              <w:t>Indicateur de l'état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0 40 012</w:t>
            </w:r>
          </w:p>
        </w:tc>
        <w:tc>
          <w:tcPr>
            <w:tcW w:type="dxa" w:w="3784"/>
          </w:tcPr>
          <w:p>
            <w:pPr>
              <w:spacing w:before="20" w:after="20"/>
            </w:pPr>
            <w:r/>
            <w:r>
              <w:rPr>
                <w:rFonts w:ascii="Verdana" w:hAnsi="Verdana"/>
                <w:b w:val="0"/>
                <w:sz w:val="16"/>
              </w:rPr>
              <w:t>Indicateur de qualité des données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0 40 013</w:t>
            </w:r>
          </w:p>
        </w:tc>
        <w:tc>
          <w:tcPr>
            <w:tcW w:type="dxa" w:w="3784"/>
          </w:tcPr>
          <w:p>
            <w:pPr>
              <w:spacing w:before="20" w:after="20"/>
            </w:pPr>
            <w:r/>
            <w:r>
              <w:rPr>
                <w:rFonts w:ascii="Verdana" w:hAnsi="Verdana"/>
                <w:b w:val="0"/>
                <w:sz w:val="16"/>
              </w:rPr>
              <w:t>Indicateur d'interprétation de la température de luminance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Indicateur de présence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0 40 023</w:t>
            </w:r>
          </w:p>
        </w:tc>
        <w:tc>
          <w:tcPr>
            <w:tcW w:type="dxa" w:w="3784"/>
          </w:tcPr>
          <w:p>
            <w:pPr>
              <w:spacing w:before="20" w:after="20"/>
            </w:pPr>
            <w:r/>
            <w:r>
              <w:rPr>
                <w:rFonts w:ascii="Verdana" w:hAnsi="Verdana"/>
                <w:b w:val="0"/>
                <w:sz w:val="16"/>
              </w:rPr>
              <w:t>Indicateur de l'état de l'altimètre auxiliaire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0 40 024</w:t>
            </w:r>
          </w:p>
        </w:tc>
        <w:tc>
          <w:tcPr>
            <w:tcW w:type="dxa" w:w="3784"/>
          </w:tcPr>
          <w:p>
            <w:pPr>
              <w:spacing w:before="20" w:after="20"/>
            </w:pPr>
            <w:r/>
            <w:r>
              <w:rPr>
                <w:rFonts w:ascii="Verdana" w:hAnsi="Verdana"/>
                <w:b w:val="0"/>
                <w:sz w:val="16"/>
              </w:rPr>
              <w:t>Existence de cartes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0 40 025</w:t>
            </w:r>
          </w:p>
        </w:tc>
        <w:tc>
          <w:tcPr>
            <w:tcW w:type="dxa" w:w="3784"/>
          </w:tcPr>
          <w:p>
            <w:pPr>
              <w:spacing w:before="20" w:after="20"/>
            </w:pPr>
            <w:r/>
            <w:r>
              <w:rPr>
                <w:rFonts w:ascii="Verdana" w:hAnsi="Verdana"/>
                <w:b w:val="0"/>
                <w:sz w:val="16"/>
              </w:rPr>
              <w:t>Indicateur d'interpolation pour la marée diurne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0 22 151</w:t>
            </w:r>
          </w:p>
        </w:tc>
        <w:tc>
          <w:tcPr>
            <w:tcW w:type="dxa" w:w="3784"/>
          </w:tcPr>
          <w:p>
            <w:pPr>
              <w:spacing w:before="20" w:after="20"/>
            </w:pPr>
            <w:r/>
            <w:r>
              <w:rPr>
                <w:rFonts w:ascii="Verdana" w:hAnsi="Verdana"/>
                <w:b w:val="0"/>
                <w:sz w:val="16"/>
              </w:rPr>
              <w:t>Intervalle océanique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0 22 162</w:t>
            </w:r>
          </w:p>
        </w:tc>
        <w:tc>
          <w:tcPr>
            <w:tcW w:type="dxa" w:w="3784"/>
          </w:tcPr>
          <w:p>
            <w:pPr>
              <w:spacing w:before="20" w:after="20"/>
            </w:pPr>
            <w:r/>
            <w:r>
              <w:rPr>
                <w:rFonts w:ascii="Verdana" w:hAnsi="Verdana"/>
                <w:b w:val="0"/>
                <w:sz w:val="16"/>
              </w:rPr>
              <w:t>Moyenne quadratique de l'intervalle océanique à 20 Hz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0 22 163</w:t>
            </w:r>
          </w:p>
        </w:tc>
        <w:tc>
          <w:tcPr>
            <w:tcW w:type="dxa" w:w="3784"/>
          </w:tcPr>
          <w:p>
            <w:pPr>
              <w:spacing w:before="20" w:after="20"/>
            </w:pPr>
            <w:r/>
            <w:r>
              <w:rPr>
                <w:rFonts w:ascii="Verdana" w:hAnsi="Verdana"/>
                <w:b w:val="0"/>
                <w:sz w:val="16"/>
              </w:rPr>
              <w:t>Nombre de points corrects à 20 Hz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0 25 160</w:t>
            </w:r>
          </w:p>
        </w:tc>
        <w:tc>
          <w:tcPr>
            <w:tcW w:type="dxa" w:w="3784"/>
          </w:tcPr>
          <w:p>
            <w:pPr>
              <w:spacing w:before="20" w:after="20"/>
            </w:pPr>
            <w:r/>
            <w:r>
              <w:rPr>
                <w:rFonts w:ascii="Verdana" w:hAnsi="Verdana"/>
                <w:b w:val="0"/>
                <w:sz w:val="16"/>
              </w:rPr>
              <w:t>Correction finale de l'erreur instrumentale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0 25 133</w:t>
            </w:r>
          </w:p>
        </w:tc>
        <w:tc>
          <w:tcPr>
            <w:tcW w:type="dxa" w:w="3784"/>
          </w:tcPr>
          <w:p>
            <w:pPr>
              <w:spacing w:before="20" w:after="20"/>
            </w:pPr>
            <w:r/>
            <w:r>
              <w:rPr>
                <w:rFonts w:ascii="Verdana" w:hAnsi="Verdana"/>
                <w:b w:val="0"/>
                <w:sz w:val="16"/>
              </w:rPr>
              <w:t>Correction du biais d'état de la mer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0 22 156</w:t>
            </w:r>
          </w:p>
        </w:tc>
        <w:tc>
          <w:tcPr>
            <w:tcW w:type="dxa" w:w="3784"/>
          </w:tcPr>
          <w:p>
            <w:pPr>
              <w:spacing w:before="20" w:after="20"/>
            </w:pPr>
            <w:r/>
            <w:r>
              <w:rPr>
                <w:rFonts w:ascii="Verdana" w:hAnsi="Verdana"/>
                <w:b w:val="0"/>
                <w:sz w:val="16"/>
              </w:rPr>
              <w:t>Hauteur significative des vagues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0 22 164</w:t>
            </w:r>
          </w:p>
        </w:tc>
        <w:tc>
          <w:tcPr>
            <w:tcW w:type="dxa" w:w="3784"/>
          </w:tcPr>
          <w:p>
            <w:pPr>
              <w:spacing w:before="20" w:after="20"/>
            </w:pPr>
            <w:r/>
            <w:r>
              <w:rPr>
                <w:rFonts w:ascii="Verdana" w:hAnsi="Verdana"/>
                <w:b w:val="0"/>
                <w:sz w:val="16"/>
              </w:rPr>
              <w:t>Moyenne quadratique de la hauteur significative des vagues à 20 Hz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0 22 165</w:t>
            </w:r>
          </w:p>
        </w:tc>
        <w:tc>
          <w:tcPr>
            <w:tcW w:type="dxa" w:w="3784"/>
          </w:tcPr>
          <w:p>
            <w:pPr>
              <w:spacing w:before="20" w:after="20"/>
            </w:pPr>
            <w:r/>
            <w:r>
              <w:rPr>
                <w:rFonts w:ascii="Verdana" w:hAnsi="Verdana"/>
                <w:b w:val="0"/>
                <w:sz w:val="16"/>
              </w:rPr>
              <w:t>Nombre de points corrects à 20 Hz pour la hauteur significative des vagues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0 22 166</w:t>
            </w:r>
          </w:p>
        </w:tc>
        <w:tc>
          <w:tcPr>
            <w:tcW w:type="dxa" w:w="3784"/>
          </w:tcPr>
          <w:p>
            <w:pPr>
              <w:spacing w:before="20" w:after="20"/>
            </w:pPr>
            <w:r/>
            <w:r>
              <w:rPr>
                <w:rFonts w:ascii="Verdana" w:hAnsi="Verdana"/>
                <w:b w:val="0"/>
                <w:sz w:val="16"/>
              </w:rPr>
              <w:t>Correction finale de l'erreur instrumentale pour la hauteur significative des vagues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0 21 137</w:t>
            </w:r>
          </w:p>
        </w:tc>
        <w:tc>
          <w:tcPr>
            <w:tcW w:type="dxa" w:w="3784"/>
          </w:tcPr>
          <w:p>
            <w:pPr>
              <w:spacing w:before="20" w:after="20"/>
            </w:pPr>
            <w:r/>
            <w:r>
              <w:rPr>
                <w:rFonts w:ascii="Verdana" w:hAnsi="Verdana"/>
                <w:b w:val="0"/>
                <w:sz w:val="16"/>
              </w:rPr>
              <w:t>Coefficient de rétrodiffusion corrigé pour l'océan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0 21 138</w:t>
            </w:r>
          </w:p>
        </w:tc>
        <w:tc>
          <w:tcPr>
            <w:tcW w:type="dxa" w:w="3784"/>
          </w:tcPr>
          <w:p>
            <w:pPr>
              <w:spacing w:before="20" w:after="20"/>
            </w:pPr>
            <w:r/>
            <w:r>
              <w:rPr>
                <w:rFonts w:ascii="Verdana" w:hAnsi="Verdana"/>
                <w:b w:val="0"/>
                <w:sz w:val="16"/>
              </w:rPr>
              <w:t>Coefficient de rétrodiffusion corrigé type pour l'océan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0 22 167</w:t>
            </w:r>
          </w:p>
        </w:tc>
        <w:tc>
          <w:tcPr>
            <w:tcW w:type="dxa" w:w="3784"/>
          </w:tcPr>
          <w:p>
            <w:pPr>
              <w:spacing w:before="20" w:after="20"/>
            </w:pPr>
            <w:r/>
            <w:r>
              <w:rPr>
                <w:rFonts w:ascii="Verdana" w:hAnsi="Verdana"/>
                <w:b w:val="0"/>
                <w:sz w:val="16"/>
              </w:rPr>
              <w:t>Nombre de points corrects de rétrodiffusion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0 21 139</w:t>
            </w:r>
          </w:p>
        </w:tc>
        <w:tc>
          <w:tcPr>
            <w:tcW w:type="dxa" w:w="3784"/>
          </w:tcPr>
          <w:p>
            <w:pPr>
              <w:spacing w:before="20" w:after="20"/>
            </w:pPr>
            <w:r/>
            <w:r>
              <w:rPr>
                <w:rFonts w:ascii="Verdana" w:hAnsi="Verdana"/>
                <w:b w:val="0"/>
                <w:sz w:val="16"/>
              </w:rPr>
              <w:t>Correction finale de l'erreur instrumentale pour la 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Correction d'atténuation sur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0 21 145</w:t>
            </w:r>
          </w:p>
        </w:tc>
        <w:tc>
          <w:tcPr>
            <w:tcW w:type="dxa" w:w="3784"/>
          </w:tcPr>
          <w:p>
            <w:pPr>
              <w:spacing w:before="20" w:after="20"/>
            </w:pPr>
            <w:r/>
            <w:r>
              <w:rPr>
                <w:rFonts w:ascii="Verdana" w:hAnsi="Verdana"/>
                <w:b w:val="0"/>
                <w:sz w:val="16"/>
              </w:rPr>
              <w:t>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0 21 146</w:t>
            </w:r>
          </w:p>
        </w:tc>
        <w:tc>
          <w:tcPr>
            <w:tcW w:type="dxa" w:w="3784"/>
          </w:tcPr>
          <w:p>
            <w:pPr>
              <w:spacing w:before="20" w:after="20"/>
            </w:pPr>
            <w:r/>
            <w:r>
              <w:rPr>
                <w:rFonts w:ascii="Verdana" w:hAnsi="Verdana"/>
                <w:b w:val="0"/>
                <w:sz w:val="16"/>
              </w:rPr>
              <w:t>Moyenne quadratique de la 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0 21 147</w:t>
            </w:r>
          </w:p>
        </w:tc>
        <w:tc>
          <w:tcPr>
            <w:tcW w:type="dxa" w:w="3784"/>
          </w:tcPr>
          <w:p>
            <w:pPr>
              <w:spacing w:before="20" w:after="20"/>
            </w:pPr>
            <w:r/>
            <w:r>
              <w:rPr>
                <w:rFonts w:ascii="Verdana" w:hAnsi="Verdana"/>
                <w:b w:val="0"/>
                <w:sz w:val="16"/>
              </w:rPr>
              <w:t>Nombre de points corrects pour la 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0 22 168</w:t>
            </w:r>
          </w:p>
        </w:tc>
        <w:tc>
          <w:tcPr>
            <w:tcW w:type="dxa" w:w="3784"/>
          </w:tcPr>
          <w:p>
            <w:pPr>
              <w:spacing w:before="20" w:after="20"/>
            </w:pPr>
            <w:r/>
            <w:r>
              <w:rPr>
                <w:rFonts w:ascii="Verdana" w:hAnsi="Verdana"/>
                <w:b w:val="0"/>
                <w:sz w:val="16"/>
              </w:rPr>
              <w:t>Intervalle océanique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0 22 169</w:t>
            </w:r>
          </w:p>
        </w:tc>
        <w:tc>
          <w:tcPr>
            <w:tcW w:type="dxa" w:w="3784"/>
          </w:tcPr>
          <w:p>
            <w:pPr>
              <w:spacing w:before="20" w:after="20"/>
            </w:pPr>
            <w:r/>
            <w:r>
              <w:rPr>
                <w:rFonts w:ascii="Verdana" w:hAnsi="Verdana"/>
                <w:b w:val="0"/>
                <w:sz w:val="16"/>
              </w:rPr>
              <w:t>Moyenne quadratique de l'intervalle océanique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0 22 170</w:t>
            </w:r>
          </w:p>
        </w:tc>
        <w:tc>
          <w:tcPr>
            <w:tcW w:type="dxa" w:w="3784"/>
          </w:tcPr>
          <w:p>
            <w:pPr>
              <w:spacing w:before="20" w:after="20"/>
            </w:pPr>
            <w:r/>
            <w:r>
              <w:rPr>
                <w:rFonts w:ascii="Verdana" w:hAnsi="Verdana"/>
                <w:b w:val="0"/>
                <w:sz w:val="16"/>
              </w:rPr>
              <w:t>Nombre de points corrects à 20 Hz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0 25 161</w:t>
            </w:r>
          </w:p>
        </w:tc>
        <w:tc>
          <w:tcPr>
            <w:tcW w:type="dxa" w:w="3784"/>
          </w:tcPr>
          <w:p>
            <w:pPr>
              <w:spacing w:before="20" w:after="20"/>
            </w:pPr>
            <w:r/>
            <w:r>
              <w:rPr>
                <w:rFonts w:ascii="Verdana" w:hAnsi="Verdana"/>
                <w:b w:val="0"/>
                <w:sz w:val="16"/>
              </w:rPr>
              <w:t>Correction finale de l'erreur instrumentale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0 25 162</w:t>
            </w:r>
          </w:p>
        </w:tc>
        <w:tc>
          <w:tcPr>
            <w:tcW w:type="dxa" w:w="3784"/>
          </w:tcPr>
          <w:p>
            <w:pPr>
              <w:spacing w:before="20" w:after="20"/>
            </w:pPr>
            <w:r/>
            <w:r>
              <w:rPr>
                <w:rFonts w:ascii="Verdana" w:hAnsi="Verdana"/>
                <w:b w:val="0"/>
                <w:sz w:val="16"/>
              </w:rPr>
              <w:t>Correction du biais d'état de la mer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0 22 171</w:t>
            </w:r>
          </w:p>
        </w:tc>
        <w:tc>
          <w:tcPr>
            <w:tcW w:type="dxa" w:w="3784"/>
          </w:tcPr>
          <w:p>
            <w:pPr>
              <w:spacing w:before="20" w:after="20"/>
            </w:pPr>
            <w:r/>
            <w:r>
              <w:rPr>
                <w:rFonts w:ascii="Verdana" w:hAnsi="Verdana"/>
                <w:b w:val="0"/>
                <w:sz w:val="16"/>
              </w:rPr>
              <w:t>Hauteur significative des vagues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0 22 172</w:t>
            </w:r>
          </w:p>
        </w:tc>
        <w:tc>
          <w:tcPr>
            <w:tcW w:type="dxa" w:w="3784"/>
          </w:tcPr>
          <w:p>
            <w:pPr>
              <w:spacing w:before="20" w:after="20"/>
            </w:pPr>
            <w:r/>
            <w:r>
              <w:rPr>
                <w:rFonts w:ascii="Verdana" w:hAnsi="Verdana"/>
                <w:b w:val="0"/>
                <w:sz w:val="16"/>
              </w:rPr>
              <w:t>Moyenne quadratique de la hauteur significative des vagues à 20 Hz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0 22 173</w:t>
            </w:r>
          </w:p>
        </w:tc>
        <w:tc>
          <w:tcPr>
            <w:tcW w:type="dxa" w:w="3784"/>
          </w:tcPr>
          <w:p>
            <w:pPr>
              <w:spacing w:before="20" w:after="20"/>
            </w:pPr>
            <w:r/>
            <w:r>
              <w:rPr>
                <w:rFonts w:ascii="Verdana" w:hAnsi="Verdana"/>
                <w:b w:val="0"/>
                <w:sz w:val="16"/>
              </w:rPr>
              <w:t>Nombre de points corrects à 20 Hz pour la hauteur significative des vagues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0 22 174</w:t>
            </w:r>
          </w:p>
        </w:tc>
        <w:tc>
          <w:tcPr>
            <w:tcW w:type="dxa" w:w="3784"/>
          </w:tcPr>
          <w:p>
            <w:pPr>
              <w:spacing w:before="20" w:after="20"/>
            </w:pPr>
            <w:r/>
            <w:r>
              <w:rPr>
                <w:rFonts w:ascii="Verdana" w:hAnsi="Verdana"/>
                <w:b w:val="0"/>
                <w:sz w:val="16"/>
              </w:rPr>
              <w:t>Correction finale de l'erreur instrumentale pour la hauteur significative des vagues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0 21 170</w:t>
            </w:r>
          </w:p>
        </w:tc>
        <w:tc>
          <w:tcPr>
            <w:tcW w:type="dxa" w:w="3784"/>
          </w:tcPr>
          <w:p>
            <w:pPr>
              <w:spacing w:before="20" w:after="20"/>
            </w:pPr>
            <w:r/>
            <w:r>
              <w:rPr>
                <w:rFonts w:ascii="Verdana" w:hAnsi="Verdana"/>
                <w:b w:val="0"/>
                <w:sz w:val="16"/>
              </w:rPr>
              <w:t>Coefficient de rétrodiffusion corrigé pour l'océan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0 21 171</w:t>
            </w:r>
          </w:p>
        </w:tc>
        <w:tc>
          <w:tcPr>
            <w:tcW w:type="dxa" w:w="3784"/>
          </w:tcPr>
          <w:p>
            <w:pPr>
              <w:spacing w:before="20" w:after="20"/>
            </w:pPr>
            <w:r/>
            <w:r>
              <w:rPr>
                <w:rFonts w:ascii="Verdana" w:hAnsi="Verdana"/>
                <w:b w:val="0"/>
                <w:sz w:val="16"/>
              </w:rPr>
              <w:t>Moyenne quadratique du coefficient de rétrodiffusion corrigé pour l'océan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0 22 175</w:t>
            </w:r>
          </w:p>
        </w:tc>
        <w:tc>
          <w:tcPr>
            <w:tcW w:type="dxa" w:w="3784"/>
          </w:tcPr>
          <w:p>
            <w:pPr>
              <w:spacing w:before="20" w:after="20"/>
            </w:pPr>
            <w:r/>
            <w:r>
              <w:rPr>
                <w:rFonts w:ascii="Verdana" w:hAnsi="Verdana"/>
                <w:b w:val="0"/>
                <w:sz w:val="16"/>
              </w:rPr>
              <w:t>Nombre de points corrects de rétrodiffusion en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0 21 172</w:t>
            </w:r>
          </w:p>
        </w:tc>
        <w:tc>
          <w:tcPr>
            <w:tcW w:type="dxa" w:w="3784"/>
          </w:tcPr>
          <w:p>
            <w:pPr>
              <w:spacing w:before="20" w:after="20"/>
            </w:pPr>
            <w:r/>
            <w:r>
              <w:rPr>
                <w:rFonts w:ascii="Verdana" w:hAnsi="Verdana"/>
                <w:b w:val="0"/>
                <w:sz w:val="16"/>
              </w:rPr>
              <w:t>Correction finale de l'erreur instrumentale pour la commande automatique de gain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Correction d'atténuation sur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0 21 173</w:t>
            </w:r>
          </w:p>
        </w:tc>
        <w:tc>
          <w:tcPr>
            <w:tcW w:type="dxa" w:w="3784"/>
          </w:tcPr>
          <w:p>
            <w:pPr>
              <w:spacing w:before="20" w:after="20"/>
            </w:pPr>
            <w:r/>
            <w:r>
              <w:rPr>
                <w:rFonts w:ascii="Verdana" w:hAnsi="Verdana"/>
                <w:b w:val="0"/>
                <w:sz w:val="16"/>
              </w:rPr>
              <w:t>Commande automatique de gain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0 21 174</w:t>
            </w:r>
          </w:p>
        </w:tc>
        <w:tc>
          <w:tcPr>
            <w:tcW w:type="dxa" w:w="3784"/>
          </w:tcPr>
          <w:p>
            <w:pPr>
              <w:spacing w:before="20" w:after="20"/>
            </w:pPr>
            <w:r/>
            <w:r>
              <w:rPr>
                <w:rFonts w:ascii="Verdana" w:hAnsi="Verdana"/>
                <w:b w:val="0"/>
                <w:sz w:val="16"/>
              </w:rPr>
              <w:t>Moyenne quadratique de la commande automatique de gain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0 21 175</w:t>
            </w:r>
          </w:p>
        </w:tc>
        <w:tc>
          <w:tcPr>
            <w:tcW w:type="dxa" w:w="3784"/>
          </w:tcPr>
          <w:p>
            <w:pPr>
              <w:spacing w:before="20" w:after="20"/>
            </w:pPr>
            <w:r/>
            <w:r>
              <w:rPr>
                <w:rFonts w:ascii="Verdana" w:hAnsi="Verdana"/>
                <w:b w:val="0"/>
                <w:sz w:val="16"/>
              </w:rPr>
              <w:t>Nombre de points corrects pour la commande automatique de gain dans la bande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Teneur en vapeur d'eau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Teneur en eau liquide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Vitesse du vent indiquée par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0 11 098</w:t>
            </w:r>
          </w:p>
        </w:tc>
        <w:tc>
          <w:tcPr>
            <w:tcW w:type="dxa" w:w="3784"/>
          </w:tcPr>
          <w:p>
            <w:pPr>
              <w:spacing w:before="20" w:after="20"/>
            </w:pPr>
            <w:r/>
            <w:r>
              <w:rPr>
                <w:rFonts w:ascii="Verdana" w:hAnsi="Verdana"/>
                <w:b w:val="0"/>
                <w:sz w:val="16"/>
              </w:rPr>
              <w:t>Vitesse du vent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Topographie dynamique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du centre de gravité au-dessus de l'ellipsoïde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Taux de variation d'altitude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0 10 083</w:t>
            </w:r>
          </w:p>
        </w:tc>
        <w:tc>
          <w:tcPr>
            <w:tcW w:type="dxa" w:w="3784"/>
          </w:tcPr>
          <w:p>
            <w:pPr>
              <w:spacing w:before="20" w:after="20"/>
            </w:pPr>
            <w:r/>
            <w:r>
              <w:rPr>
                <w:rFonts w:ascii="Verdana" w:hAnsi="Verdana"/>
                <w:b w:val="0"/>
                <w:sz w:val="16"/>
              </w:rPr>
              <w:t>Carré de l'angle de décalage du satellite par rapport au nadir, calculé à partir de l'assiette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Carré de l'angle de décalage du satellite par rapport au nadir, calculé à partir de la forme des 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0 25 132</w:t>
            </w:r>
          </w:p>
        </w:tc>
        <w:tc>
          <w:tcPr>
            <w:tcW w:type="dxa" w:w="3784"/>
          </w:tcPr>
          <w:p>
            <w:pPr>
              <w:spacing w:before="20" w:after="20"/>
            </w:pPr>
            <w:r/>
            <w:r>
              <w:rPr>
                <w:rFonts w:ascii="Verdana" w:hAnsi="Verdana"/>
                <w:b w:val="0"/>
                <w:sz w:val="16"/>
              </w:rPr>
              <w:t>Correction ionosphérique - modèle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0 25 163</w:t>
            </w:r>
          </w:p>
        </w:tc>
        <w:tc>
          <w:tcPr>
            <w:tcW w:type="dxa" w:w="3784"/>
          </w:tcPr>
          <w:p>
            <w:pPr>
              <w:spacing w:before="20" w:after="20"/>
            </w:pPr>
            <w:r/>
            <w:r>
              <w:rPr>
                <w:rFonts w:ascii="Verdana" w:hAnsi="Verdana"/>
                <w:b w:val="0"/>
                <w:sz w:val="16"/>
              </w:rPr>
              <w:t>Correction ionosphérique de l'altimètre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Correction de troposphère sèche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Correction de troposphère humide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Correction de troposphère humide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Hauteur moyenne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0 10 097</w:t>
            </w:r>
          </w:p>
        </w:tc>
        <w:tc>
          <w:tcPr>
            <w:tcW w:type="dxa" w:w="3784"/>
          </w:tcPr>
          <w:p>
            <w:pPr>
              <w:spacing w:before="20" w:after="20"/>
            </w:pPr>
            <w:r/>
            <w:r>
              <w:rPr>
                <w:rFonts w:ascii="Verdana" w:hAnsi="Verdana"/>
                <w:b w:val="0"/>
                <w:sz w:val="16"/>
              </w:rPr>
              <w:t>Hauteur moyenne de la surface de la mer fournie par l'altimètre seulement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Hauteur du géoïde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Profondeur de l'océan ou altitude des terres émergées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Hauteur de marée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Hauteur géocentrique totale de marée océanique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Hauteur géocentrique totale de marée océanique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Hauteur de la marée de charge pour le calcul de la marée géocentrique -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Hauteur de la marée de charge pour le calcul de la marée géocentrique -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Hauteur de marée pour une période prolongée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Hauteur de marée pour une période prolongée hors d'équilibre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Hauteur géocentrique de marée polaire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Correction de baromètre inverse</w:t>
            </w:r>
          </w:p>
        </w:tc>
        <w:tc>
          <w:tcPr>
            <w:tcW w:type="dxa" w:w="3784"/>
          </w:tcPr>
          <w:p>
            <w:pPr>
              <w:spacing w:before="20" w:after="20"/>
            </w:pPr>
            <w:r/>
            <w:r>
              <w:rPr>
                <w:rFonts w:ascii="Verdana" w:hAnsi="Verdana"/>
                <w:b w:val="0"/>
                <w:sz w:val="16"/>
              </w:rPr>
              <w:t>Correction de la hauteur de la surface de la mer due à une charge barométrique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Fluctuations haute fréquence de la correction topographique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Anomalie de hauteur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40 011 (SARAL Altika)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Numéro de cycle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Indicatif du modèle numérique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Secondes par minute (à la microseconde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Type de surface détecté par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Indicateur d'interpolation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0 25 097</w:t>
            </w:r>
          </w:p>
        </w:tc>
        <w:tc>
          <w:tcPr>
            <w:tcW w:type="dxa" w:w="3784"/>
          </w:tcPr>
          <w:p>
            <w:pPr>
              <w:spacing w:before="20" w:after="20"/>
            </w:pPr>
            <w:r/>
            <w:r>
              <w:rPr>
                <w:rFonts w:ascii="Verdana" w:hAnsi="Verdana"/>
                <w:b w:val="0"/>
                <w:sz w:val="16"/>
              </w:rPr>
              <w:t>Erreur tridimensionnelle estimative de l'orbite du navigateur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Indicateur de qualité des données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Indicateur de qualité de la correction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0 21 148</w:t>
            </w:r>
          </w:p>
        </w:tc>
        <w:tc>
          <w:tcPr>
            <w:tcW w:type="dxa" w:w="3784"/>
          </w:tcPr>
          <w:p>
            <w:pPr>
              <w:spacing w:before="20" w:after="20"/>
            </w:pPr>
            <w:r/>
            <w:r>
              <w:rPr>
                <w:rFonts w:ascii="Verdana" w:hAnsi="Verdana"/>
                <w:b w:val="0"/>
                <w:sz w:val="16"/>
              </w:rPr>
              <w:t>Indicateur de variation du front arrière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Indicateur de présence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0 40 024</w:t>
            </w:r>
          </w:p>
        </w:tc>
        <w:tc>
          <w:tcPr>
            <w:tcW w:type="dxa" w:w="3784"/>
          </w:tcPr>
          <w:p>
            <w:pPr>
              <w:spacing w:before="20" w:after="20"/>
            </w:pPr>
            <w:r/>
            <w:r>
              <w:rPr>
                <w:rFonts w:ascii="Verdana" w:hAnsi="Verdana"/>
                <w:b w:val="0"/>
                <w:sz w:val="16"/>
              </w:rPr>
              <w:t>Existence de cartes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0 40 025</w:t>
            </w:r>
          </w:p>
        </w:tc>
        <w:tc>
          <w:tcPr>
            <w:tcW w:type="dxa" w:w="3784"/>
          </w:tcPr>
          <w:p>
            <w:pPr>
              <w:spacing w:before="20" w:after="20"/>
            </w:pPr>
            <w:r/>
            <w:r>
              <w:rPr>
                <w:rFonts w:ascii="Verdana" w:hAnsi="Verdana"/>
                <w:b w:val="0"/>
                <w:sz w:val="16"/>
              </w:rPr>
              <w:t>Indicateur d'interpolation pour la marée diurne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Moyenne quadratique de l'intervalle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Nombre de points corrects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Correction finale de l'erreur instrumentale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Correction du biais d'état de la mer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Moyenne quadratique de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Nombre de points corrects de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Correction finale de l'erreur instrumentale pour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Coefficient de rétrodiffusion corrigé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Coefficient de rétrodiffusion corrigé type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Nombre de points corrects pour la rétrodiffusion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Correction finale de l'erreur instrumentale pour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Correction d'atténuation sur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0 21 186</w:t>
            </w:r>
          </w:p>
        </w:tc>
        <w:tc>
          <w:tcPr>
            <w:tcW w:type="dxa" w:w="3784"/>
          </w:tcPr>
          <w:p>
            <w:pPr>
              <w:spacing w:before="20" w:after="20"/>
            </w:pPr>
            <w:r/>
            <w:r>
              <w:rPr>
                <w:rFonts w:ascii="Verdana" w:hAnsi="Verdana"/>
                <w:b w:val="0"/>
                <w:sz w:val="16"/>
              </w:rPr>
              <w:t>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0 21 187</w:t>
            </w:r>
          </w:p>
        </w:tc>
        <w:tc>
          <w:tcPr>
            <w:tcW w:type="dxa" w:w="3784"/>
          </w:tcPr>
          <w:p>
            <w:pPr>
              <w:spacing w:before="20" w:after="20"/>
            </w:pPr>
            <w:r/>
            <w:r>
              <w:rPr>
                <w:rFonts w:ascii="Verdana" w:hAnsi="Verdana"/>
                <w:b w:val="0"/>
                <w:sz w:val="16"/>
              </w:rPr>
              <w:t>Moyenne quadratique de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0 21 188</w:t>
            </w:r>
          </w:p>
        </w:tc>
        <w:tc>
          <w:tcPr>
            <w:tcW w:type="dxa" w:w="3784"/>
          </w:tcPr>
          <w:p>
            <w:pPr>
              <w:spacing w:before="20" w:after="20"/>
            </w:pPr>
            <w:r/>
            <w:r>
              <w:rPr>
                <w:rFonts w:ascii="Verdana" w:hAnsi="Verdana"/>
                <w:b w:val="0"/>
                <w:sz w:val="16"/>
              </w:rPr>
              <w:t>Nombre de points corrects pour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Teneur en vapeur d'eau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0 13 160</w:t>
            </w:r>
          </w:p>
        </w:tc>
        <w:tc>
          <w:tcPr>
            <w:tcW w:type="dxa" w:w="3784"/>
          </w:tcPr>
          <w:p>
            <w:pPr>
              <w:spacing w:before="20" w:after="20"/>
            </w:pPr>
            <w:r/>
            <w:r>
              <w:rPr>
                <w:rFonts w:ascii="Verdana" w:hAnsi="Verdana"/>
                <w:b w:val="0"/>
                <w:sz w:val="16"/>
              </w:rPr>
              <w:t>Teneur en eau liquide fournie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Vitesse du vent indiquée par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Topographie dynamique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du centre de gravité au-dessus de l'ellipsoïde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Taux de variation d'altitude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0 10 083</w:t>
            </w:r>
          </w:p>
        </w:tc>
        <w:tc>
          <w:tcPr>
            <w:tcW w:type="dxa" w:w="3784"/>
          </w:tcPr>
          <w:p>
            <w:pPr>
              <w:spacing w:before="20" w:after="20"/>
            </w:pPr>
            <w:r/>
            <w:r>
              <w:rPr>
                <w:rFonts w:ascii="Verdana" w:hAnsi="Verdana"/>
                <w:b w:val="0"/>
                <w:sz w:val="16"/>
              </w:rPr>
              <w:t>Carré de l'angle de décalage du satellite par rapport au nadir, calculé à partir de l'assiette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Carré de l'angle de décalage du satellite par rapport au nadir, calculé à partir de la forme des 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Correction ionosphérique - modèle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Correction de troposphère sèche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Correction de troposphère humide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Correction de troposphère humide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Hauteur moyenne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Hauteur du géoïde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Profondeur de l'océan ou altitude des terres émergées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Hauteur de marée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Hauteur géocentrique totale de marée océanique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Hauteur géocentrique totale de marée océanique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Hauteur de la marée de charge pour le calcul de la marée géocentrique -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Hauteur de la marée de charge pour le calcul de la marée géocentrique -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Hauteur de marée pour une période prolongée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Hauteur de marée pour une période prolongée hors d'équilibre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Hauteur géocentrique de marée polaire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Correction de baromètre inverse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Fluctuations haute fréquence de la correction topographique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Anomalie de hauteur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40 012 (Imageur hyperfréquence des précipitations à l'échelle du globe (GMI))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 des coordonnées</w:t>
            </w:r>
          </w:p>
        </w:tc>
        <w:tc>
          <w:tcPr>
            <w:tcW w:type="dxa" w:w="3784"/>
          </w:tcPr>
          <w:p>
            <w:pPr>
              <w:spacing w:before="20" w:after="20"/>
            </w:pPr>
            <w:r/>
            <w:r>
              <w:rPr>
                <w:rFonts w:ascii="Verdana" w:hAnsi="Verdana"/>
                <w:b w:val="0"/>
                <w:sz w:val="16"/>
              </w:rPr>
              <w:t>= 0 Coordonnées du satellite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0 05 063</w:t>
            </w:r>
          </w:p>
        </w:tc>
        <w:tc>
          <w:tcPr>
            <w:tcW w:type="dxa" w:w="3784"/>
          </w:tcPr>
          <w:p>
            <w:pPr>
              <w:spacing w:before="20" w:after="20"/>
            </w:pPr>
            <w:r/>
            <w:r>
              <w:rPr>
                <w:rFonts w:ascii="Verdana" w:hAnsi="Verdana"/>
                <w:b w:val="0"/>
                <w:sz w:val="16"/>
              </w:rPr>
              <w:t>Roulis de l'engin spatial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0 05 064</w:t>
            </w:r>
          </w:p>
        </w:tc>
        <w:tc>
          <w:tcPr>
            <w:tcW w:type="dxa" w:w="3784"/>
          </w:tcPr>
          <w:p>
            <w:pPr>
              <w:spacing w:before="20" w:after="20"/>
            </w:pPr>
            <w:r/>
            <w:r>
              <w:rPr>
                <w:rFonts w:ascii="Verdana" w:hAnsi="Verdana"/>
                <w:b w:val="0"/>
                <w:sz w:val="16"/>
              </w:rPr>
              <w:t>Tangage de l'engin spatial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0 05 066</w:t>
            </w:r>
          </w:p>
        </w:tc>
        <w:tc>
          <w:tcPr>
            <w:tcW w:type="dxa" w:w="3784"/>
          </w:tcPr>
          <w:p>
            <w:pPr>
              <w:spacing w:before="20" w:after="20"/>
            </w:pPr>
            <w:r/>
            <w:r>
              <w:rPr>
                <w:rFonts w:ascii="Verdana" w:hAnsi="Verdana"/>
                <w:b w:val="0"/>
                <w:sz w:val="16"/>
              </w:rPr>
              <w:t>Lacet de l'engin spatial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0 05 067</w:t>
            </w:r>
          </w:p>
        </w:tc>
        <w:tc>
          <w:tcPr>
            <w:tcW w:type="dxa" w:w="3784"/>
          </w:tcPr>
          <w:p>
            <w:pPr>
              <w:spacing w:before="20" w:after="20"/>
            </w:pPr>
            <w:r/>
            <w:r>
              <w:rPr>
                <w:rFonts w:ascii="Verdana" w:hAnsi="Verdana"/>
                <w:b w:val="0"/>
                <w:sz w:val="16"/>
              </w:rPr>
              <w:t>Nombre de lignes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Secondes par minute (à la microseconde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 des coordonnées</w:t>
            </w:r>
          </w:p>
        </w:tc>
        <w:tc>
          <w:tcPr>
            <w:tcW w:type="dxa" w:w="3784"/>
          </w:tcPr>
          <w:p>
            <w:pPr>
              <w:spacing w:before="20" w:after="20"/>
            </w:pPr>
            <w:r/>
            <w:r>
              <w:rPr>
                <w:rFonts w:ascii="Verdana" w:hAnsi="Verdana"/>
                <w:b w:val="0"/>
                <w:sz w:val="16"/>
              </w:rPr>
              <w:t>= 1 Coordonnées des observations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0 40 028</w:t>
            </w:r>
          </w:p>
        </w:tc>
        <w:tc>
          <w:tcPr>
            <w:tcW w:type="dxa" w:w="3784"/>
          </w:tcPr>
          <w:p>
            <w:pPr>
              <w:spacing w:before="20" w:after="20"/>
            </w:pPr>
            <w:r/>
            <w:r>
              <w:rPr>
                <w:rFonts w:ascii="Verdana" w:hAnsi="Verdana"/>
                <w:b w:val="0"/>
                <w:sz w:val="16"/>
              </w:rPr>
              <w:t>Indicateur de qualité des données du GMI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0 40 027</w:t>
            </w:r>
          </w:p>
        </w:tc>
        <w:tc>
          <w:tcPr>
            <w:tcW w:type="dxa" w:w="3784"/>
          </w:tcPr>
          <w:p>
            <w:pPr>
              <w:spacing w:before="20" w:after="20"/>
            </w:pPr>
            <w:r/>
            <w:r>
              <w:rPr>
                <w:rFonts w:ascii="Verdana" w:hAnsi="Verdana"/>
                <w:b w:val="0"/>
                <w:sz w:val="16"/>
              </w:rPr>
              <w:t>Angle du reflet solaire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40 013 (Données de niveau L2b de l'instrument laser à effet Doppler pour l'étude de l'atmosphère (ALADIN))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Secondes par minute (à la microseconde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0 05 068</w:t>
            </w:r>
          </w:p>
        </w:tc>
        <w:tc>
          <w:tcPr>
            <w:tcW w:type="dxa" w:w="3784"/>
          </w:tcPr>
          <w:p>
            <w:pPr>
              <w:spacing w:before="20" w:after="20"/>
            </w:pPr>
            <w:r/>
            <w:r>
              <w:rPr>
                <w:rFonts w:ascii="Verdana" w:hAnsi="Verdana"/>
                <w:b w:val="0"/>
                <w:sz w:val="16"/>
              </w:rPr>
              <w:t>Numéro de profil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0 05 070</w:t>
            </w:r>
          </w:p>
        </w:tc>
        <w:tc>
          <w:tcPr>
            <w:tcW w:type="dxa" w:w="3784"/>
          </w:tcPr>
          <w:p>
            <w:pPr>
              <w:spacing w:before="20" w:after="20"/>
            </w:pPr>
            <w:r/>
            <w:r>
              <w:rPr>
                <w:rFonts w:ascii="Verdana" w:hAnsi="Verdana"/>
                <w:b w:val="0"/>
                <w:sz w:val="16"/>
              </w:rPr>
              <w:t>Identifiant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0 05 069</w:t>
            </w:r>
          </w:p>
        </w:tc>
        <w:tc>
          <w:tcPr>
            <w:tcW w:type="dxa" w:w="3784"/>
          </w:tcPr>
          <w:p>
            <w:pPr>
              <w:spacing w:before="20" w:after="20"/>
            </w:pPr>
            <w:r/>
            <w:r>
              <w:rPr>
                <w:rFonts w:ascii="Verdana" w:hAnsi="Verdana"/>
                <w:b w:val="0"/>
                <w:sz w:val="16"/>
              </w:rPr>
              <w:t>Canal de réception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0 40 036</w:t>
            </w:r>
          </w:p>
        </w:tc>
        <w:tc>
          <w:tcPr>
            <w:tcW w:type="dxa" w:w="3784"/>
          </w:tcPr>
          <w:p>
            <w:pPr>
              <w:spacing w:before="20" w:after="20"/>
            </w:pPr>
            <w:r/>
            <w:r>
              <w:rPr>
                <w:rFonts w:ascii="Verdana" w:hAnsi="Verdana"/>
                <w:b w:val="0"/>
                <w:sz w:val="16"/>
              </w:rPr>
              <w:t>Type de classification des produits Lidar de niveau L2b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 des coordonnées</w:t>
            </w:r>
          </w:p>
        </w:tc>
        <w:tc>
          <w:tcPr>
            <w:tcW w:type="dxa" w:w="3784"/>
          </w:tcPr>
          <w:p>
            <w:pPr>
              <w:spacing w:before="20" w:after="20"/>
            </w:pPr>
            <w:r/>
            <w:r>
              <w:rPr>
                <w:rFonts w:ascii="Verdana" w:hAnsi="Verdana"/>
                <w:b w:val="0"/>
                <w:sz w:val="16"/>
              </w:rPr>
              <w:t>= 2 Début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 des coordonnées</w:t>
            </w:r>
          </w:p>
        </w:tc>
        <w:tc>
          <w:tcPr>
            <w:tcW w:type="dxa" w:w="3784"/>
          </w:tcPr>
          <w:p>
            <w:pPr>
              <w:spacing w:before="20" w:after="20"/>
            </w:pPr>
            <w:r/>
            <w:r>
              <w:rPr>
                <w:rFonts w:ascii="Verdana" w:hAnsi="Verdana"/>
                <w:b w:val="0"/>
                <w:sz w:val="16"/>
              </w:rPr>
              <w:t>= 3 Fin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 des coordonnées</w:t>
            </w:r>
          </w:p>
        </w:tc>
        <w:tc>
          <w:tcPr>
            <w:tcW w:type="dxa" w:w="3784"/>
          </w:tcPr>
          <w:p>
            <w:pPr>
              <w:spacing w:before="20" w:after="20"/>
            </w:pPr>
            <w:r/>
            <w:r>
              <w:rPr>
                <w:rFonts w:ascii="Verdana" w:hAnsi="Verdana"/>
                <w:b w:val="0"/>
                <w:sz w:val="16"/>
              </w:rPr>
              <w:t>= 4 Centre de gravité de l'observation sur l'axe horizontal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 des coordonnées</w:t>
            </w:r>
          </w:p>
        </w:tc>
        <w:tc>
          <w:tcPr>
            <w:tcW w:type="dxa" w:w="3784"/>
          </w:tcPr>
          <w:p>
            <w:pPr>
              <w:spacing w:before="20" w:after="20"/>
            </w:pPr>
            <w:r/>
            <w:r>
              <w:rPr>
                <w:rFonts w:ascii="Verdana" w:hAnsi="Verdana"/>
                <w:b w:val="0"/>
                <w:sz w:val="16"/>
              </w:rPr>
              <w:t>= 6 Sommet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0 07 071</w:t>
            </w:r>
          </w:p>
        </w:tc>
        <w:tc>
          <w:tcPr>
            <w:tcW w:type="dxa" w:w="3784"/>
          </w:tcPr>
          <w:p>
            <w:pPr>
              <w:spacing w:before="20" w:after="20"/>
            </w:pPr>
            <w:r/>
            <w:r>
              <w:rPr>
                <w:rFonts w:ascii="Verdana" w:hAnsi="Verdana"/>
                <w:b w:val="0"/>
                <w:sz w:val="16"/>
              </w:rPr>
              <w:t>Hauteur (haute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0 40 035</w:t>
            </w:r>
          </w:p>
        </w:tc>
        <w:tc>
          <w:tcPr>
            <w:tcW w:type="dxa" w:w="3784"/>
          </w:tcPr>
          <w:p>
            <w:pPr>
              <w:spacing w:before="20" w:after="20"/>
            </w:pPr>
            <w:r/>
            <w:r>
              <w:rPr>
                <w:rFonts w:ascii="Verdana" w:hAnsi="Verdana"/>
                <w:b w:val="0"/>
                <w:sz w:val="16"/>
              </w:rPr>
              <w:t>Distance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 des coordonnées</w:t>
            </w:r>
          </w:p>
        </w:tc>
        <w:tc>
          <w:tcPr>
            <w:tcW w:type="dxa" w:w="3784"/>
          </w:tcPr>
          <w:p>
            <w:pPr>
              <w:spacing w:before="20" w:after="20"/>
            </w:pPr>
            <w:r/>
            <w:r>
              <w:rPr>
                <w:rFonts w:ascii="Verdana" w:hAnsi="Verdana"/>
                <w:b w:val="0"/>
                <w:sz w:val="16"/>
              </w:rPr>
              <w:t>= 7 Base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0 07 071</w:t>
            </w:r>
          </w:p>
        </w:tc>
        <w:tc>
          <w:tcPr>
            <w:tcW w:type="dxa" w:w="3784"/>
          </w:tcPr>
          <w:p>
            <w:pPr>
              <w:spacing w:before="20" w:after="20"/>
            </w:pPr>
            <w:r/>
            <w:r>
              <w:rPr>
                <w:rFonts w:ascii="Verdana" w:hAnsi="Verdana"/>
                <w:b w:val="0"/>
                <w:sz w:val="16"/>
              </w:rPr>
              <w:t>Hauteur (haute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0 40 035</w:t>
            </w:r>
          </w:p>
        </w:tc>
        <w:tc>
          <w:tcPr>
            <w:tcW w:type="dxa" w:w="3784"/>
          </w:tcPr>
          <w:p>
            <w:pPr>
              <w:spacing w:before="20" w:after="20"/>
            </w:pPr>
            <w:r/>
            <w:r>
              <w:rPr>
                <w:rFonts w:ascii="Verdana" w:hAnsi="Verdana"/>
                <w:b w:val="0"/>
                <w:sz w:val="16"/>
              </w:rPr>
              <w:t>Distance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 des coordonnées</w:t>
            </w:r>
          </w:p>
        </w:tc>
        <w:tc>
          <w:tcPr>
            <w:tcW w:type="dxa" w:w="3784"/>
          </w:tcPr>
          <w:p>
            <w:pPr>
              <w:spacing w:before="20" w:after="20"/>
            </w:pPr>
            <w:r/>
            <w:r>
              <w:rPr>
                <w:rFonts w:ascii="Verdana" w:hAnsi="Verdana"/>
                <w:b w:val="0"/>
                <w:sz w:val="16"/>
              </w:rPr>
              <w:t>= 5 Centre de gravité de l'observation sur l'axe vertical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0 07 071</w:t>
            </w:r>
          </w:p>
        </w:tc>
        <w:tc>
          <w:tcPr>
            <w:tcW w:type="dxa" w:w="3784"/>
          </w:tcPr>
          <w:p>
            <w:pPr>
              <w:spacing w:before="20" w:after="20"/>
            </w:pPr>
            <w:r/>
            <w:r>
              <w:rPr>
                <w:rFonts w:ascii="Verdana" w:hAnsi="Verdana"/>
                <w:b w:val="0"/>
                <w:sz w:val="16"/>
              </w:rPr>
              <w:t>Hauteur (haute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0 40 035</w:t>
            </w:r>
          </w:p>
        </w:tc>
        <w:tc>
          <w:tcPr>
            <w:tcW w:type="dxa" w:w="3784"/>
          </w:tcPr>
          <w:p>
            <w:pPr>
              <w:spacing w:before="20" w:after="20"/>
            </w:pPr>
            <w:r/>
            <w:r>
              <w:rPr>
                <w:rFonts w:ascii="Verdana" w:hAnsi="Verdana"/>
                <w:b w:val="0"/>
                <w:sz w:val="16"/>
              </w:rPr>
              <w:t>Distance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0 40 029</w:t>
            </w:r>
          </w:p>
        </w:tc>
        <w:tc>
          <w:tcPr>
            <w:tcW w:type="dxa" w:w="3784"/>
          </w:tcPr>
          <w:p>
            <w:pPr>
              <w:spacing w:before="20" w:after="20"/>
            </w:pPr>
            <w:r/>
            <w:r>
              <w:rPr>
                <w:rFonts w:ascii="Verdana" w:hAnsi="Verdana"/>
                <w:b w:val="0"/>
                <w:sz w:val="16"/>
              </w:rPr>
              <w:t>Longueur d'intégration horizontale des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0 40 030</w:t>
            </w:r>
          </w:p>
        </w:tc>
        <w:tc>
          <w:tcPr>
            <w:tcW w:type="dxa" w:w="3784"/>
          </w:tcPr>
          <w:p>
            <w:pPr>
              <w:spacing w:before="20" w:after="20"/>
            </w:pPr>
            <w:r/>
            <w:r>
              <w:rPr>
                <w:rFonts w:ascii="Verdana" w:hAnsi="Verdana"/>
                <w:b w:val="0"/>
                <w:sz w:val="16"/>
              </w:rPr>
              <w:t>Vent horizontal dans l'axe de visée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0 40 031</w:t>
            </w:r>
          </w:p>
        </w:tc>
        <w:tc>
          <w:tcPr>
            <w:tcW w:type="dxa" w:w="3784"/>
          </w:tcPr>
          <w:p>
            <w:pPr>
              <w:spacing w:before="20" w:after="20"/>
            </w:pPr>
            <w:r/>
            <w:r>
              <w:rPr>
                <w:rFonts w:ascii="Verdana" w:hAnsi="Verdana"/>
                <w:b w:val="0"/>
                <w:sz w:val="16"/>
              </w:rPr>
              <w:t>Estimation des erreurs relatives au vent horizontal dans l'axe de visée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0 25 187</w:t>
            </w:r>
          </w:p>
        </w:tc>
        <w:tc>
          <w:tcPr>
            <w:tcW w:type="dxa" w:w="3784"/>
          </w:tcPr>
          <w:p>
            <w:pPr>
              <w:spacing w:before="20" w:after="20"/>
            </w:pPr>
            <w:r/>
            <w:r>
              <w:rPr>
                <w:rFonts w:ascii="Verdana" w:hAnsi="Verdana"/>
                <w:b w:val="0"/>
                <w:sz w:val="16"/>
              </w:rPr>
              <w:t>Indicateur de confiance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0 40 037</w:t>
            </w:r>
          </w:p>
        </w:tc>
        <w:tc>
          <w:tcPr>
            <w:tcW w:type="dxa" w:w="3784"/>
          </w:tcPr>
          <w:p>
            <w:pPr>
              <w:spacing w:before="20" w:after="20"/>
            </w:pPr>
            <w:r/>
            <w:r>
              <w:rPr>
                <w:rFonts w:ascii="Verdana" w:hAnsi="Verdana"/>
                <w:b w:val="0"/>
                <w:sz w:val="16"/>
              </w:rPr>
              <w:t>Coefficient de rétrodiffusion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0 40 032</w:t>
            </w:r>
          </w:p>
        </w:tc>
        <w:tc>
          <w:tcPr>
            <w:tcW w:type="dxa" w:w="3784"/>
          </w:tcPr>
          <w:p>
            <w:pPr>
              <w:spacing w:before="20" w:after="20"/>
            </w:pPr>
            <w:r/>
            <w:r>
              <w:rPr>
                <w:rFonts w:ascii="Verdana" w:hAnsi="Verdana"/>
                <w:b w:val="0"/>
                <w:sz w:val="16"/>
              </w:rPr>
              <w:t>Dérivée du vent par rapport à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0 40 033</w:t>
            </w:r>
          </w:p>
        </w:tc>
        <w:tc>
          <w:tcPr>
            <w:tcW w:type="dxa" w:w="3784"/>
          </w:tcPr>
          <w:p>
            <w:pPr>
              <w:spacing w:before="20" w:after="20"/>
            </w:pPr>
            <w:r/>
            <w:r>
              <w:rPr>
                <w:rFonts w:ascii="Verdana" w:hAnsi="Verdana"/>
                <w:b w:val="0"/>
                <w:sz w:val="16"/>
              </w:rPr>
              <w:t>Dérivée du vent par rapport à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0 40 034</w:t>
            </w:r>
          </w:p>
        </w:tc>
        <w:tc>
          <w:tcPr>
            <w:tcW w:type="dxa" w:w="3784"/>
          </w:tcPr>
          <w:p>
            <w:pPr>
              <w:spacing w:before="20" w:after="20"/>
            </w:pPr>
            <w:r/>
            <w:r>
              <w:rPr>
                <w:rFonts w:ascii="Verdana" w:hAnsi="Verdana"/>
                <w:b w:val="0"/>
                <w:sz w:val="16"/>
              </w:rPr>
              <w:t>Dérivée du vent par rapport au coefficient de rétrodiffusion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40 015 (Données sur les précipitations - mesure des précipitations à l'échelle du globe (GPM))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Secondes par minute (à la microseconde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Annuler l'augmentation du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0 40 027</w:t>
            </w:r>
          </w:p>
        </w:tc>
        <w:tc>
          <w:tcPr>
            <w:tcW w:type="dxa" w:w="3784"/>
          </w:tcPr>
          <w:p>
            <w:pPr>
              <w:spacing w:before="20" w:after="20"/>
            </w:pPr>
            <w:r/>
            <w:r>
              <w:rPr>
                <w:rFonts w:ascii="Verdana" w:hAnsi="Verdana"/>
                <w:b w:val="0"/>
                <w:sz w:val="16"/>
              </w:rPr>
              <w:t>Angle du reflet solaire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0 13 040</w:t>
            </w:r>
          </w:p>
        </w:tc>
        <w:tc>
          <w:tcPr>
            <w:tcW w:type="dxa" w:w="3784"/>
          </w:tcPr>
          <w:p>
            <w:pPr>
              <w:spacing w:before="20" w:after="20"/>
            </w:pPr>
            <w:r/>
            <w:r>
              <w:rPr>
                <w:rFonts w:ascii="Verdana" w:hAnsi="Verdana"/>
                <w:b w:val="0"/>
                <w:sz w:val="16"/>
              </w:rPr>
              <w:t>Indicateur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0 21 120</w:t>
            </w:r>
          </w:p>
        </w:tc>
        <w:tc>
          <w:tcPr>
            <w:tcW w:type="dxa" w:w="3784"/>
          </w:tcPr>
          <w:p>
            <w:pPr>
              <w:spacing w:before="20" w:after="20"/>
            </w:pPr>
            <w:r/>
            <w:r>
              <w:rPr>
                <w:rFonts w:ascii="Verdana" w:hAnsi="Verdana"/>
                <w:b w:val="0"/>
                <w:sz w:val="16"/>
              </w:rPr>
              <w:t>Probabilité de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Répéter 2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0 02 186</w:t>
            </w:r>
          </w:p>
        </w:tc>
        <w:tc>
          <w:tcPr>
            <w:tcW w:type="dxa" w:w="3784"/>
          </w:tcPr>
          <w:p>
            <w:pPr>
              <w:spacing w:before="20" w:after="20"/>
            </w:pPr>
            <w:r/>
            <w:r>
              <w:rPr>
                <w:rFonts w:ascii="Verdana" w:hAnsi="Verdana"/>
                <w:b w:val="0"/>
                <w:sz w:val="16"/>
              </w:rPr>
              <w:t>Détection des divers types de précipitations</w:t>
            </w:r>
          </w:p>
        </w:tc>
        <w:tc>
          <w:tcPr>
            <w:tcW w:type="dxa" w:w="3784"/>
          </w:tcPr>
          <w:p>
            <w:pPr>
              <w:spacing w:before="20" w:after="20"/>
            </w:pPr>
            <w:r/>
            <w:r>
              <w:rPr>
                <w:rFonts w:ascii="Verdana" w:hAnsi="Verdana"/>
                <w:b w:val="0"/>
                <w:sz w:val="16"/>
              </w:rPr>
              <w:t>Première répétition bit N° 1 mis à 1 = inconnu/non précisé (précipitations totales); deuxième répétition bit N° 6 mis à 1 = précipitations solides; troisième répétition bit N° 24 mis à 1 = précipitations convectives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0 13 155</w:t>
            </w:r>
          </w:p>
        </w:tc>
        <w:tc>
          <w:tcPr>
            <w:tcW w:type="dxa" w:w="3784"/>
          </w:tcPr>
          <w:p>
            <w:pPr>
              <w:spacing w:before="20" w:after="20"/>
            </w:pPr>
            <w:r/>
            <w:r>
              <w:rPr>
                <w:rFonts w:ascii="Verdana" w:hAnsi="Verdana"/>
                <w:b w:val="0"/>
                <w:sz w:val="16"/>
              </w:rPr>
              <w:t>Intensité des précipitations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40 016 (Scores des composantes principales, sélection des canaux et données améliorées recueillies sur une plate-forme géostationnaire)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3 01 129</w:t>
            </w:r>
          </w:p>
        </w:tc>
        <w:tc>
          <w:tcPr>
            <w:tcW w:type="dxa" w:w="3784"/>
          </w:tcPr>
          <w:p>
            <w:pPr>
              <w:spacing w:before="20" w:after="20"/>
            </w:pPr>
            <w:r/>
            <w:r>
              <w:rPr>
                <w:rFonts w:ascii="Verdana" w:hAnsi="Verdana"/>
                <w:b w:val="0"/>
                <w:sz w:val="16"/>
              </w:rPr>
              <w:t>Satellite et instruments d'observation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3 01 130</w:t>
            </w:r>
          </w:p>
        </w:tc>
        <w:tc>
          <w:tcPr>
            <w:tcW w:type="dxa" w:w="3784"/>
          </w:tcPr>
          <w:p>
            <w:pPr>
              <w:spacing w:before="20" w:after="20"/>
            </w:pPr>
            <w:r/>
            <w:r>
              <w:rPr>
                <w:rFonts w:ascii="Verdana" w:hAnsi="Verdana"/>
                <w:b w:val="0"/>
                <w:sz w:val="16"/>
              </w:rPr>
              <w:t>Référence temporelle de grande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3 01 131</w:t>
            </w:r>
          </w:p>
        </w:tc>
        <w:tc>
          <w:tcPr>
            <w:tcW w:type="dxa" w:w="3784"/>
          </w:tcPr>
          <w:p>
            <w:pPr>
              <w:spacing w:before="20" w:after="20"/>
            </w:pPr>
            <w:r/>
            <w:r>
              <w:rPr>
                <w:rFonts w:ascii="Verdana" w:hAnsi="Verdana"/>
                <w:b w:val="0"/>
                <w:sz w:val="16"/>
              </w:rPr>
              <w:t>Localisation géographique des pixels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2 02 134</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Ajouter 6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3 40 002</w:t>
            </w:r>
          </w:p>
        </w:tc>
        <w:tc>
          <w:tcPr>
            <w:tcW w:type="dxa" w:w="3784"/>
          </w:tcPr>
          <w:p>
            <w:pPr>
              <w:spacing w:before="20" w:after="20"/>
            </w:pPr>
            <w:r/>
            <w:r>
              <w:rPr>
                <w:rFonts w:ascii="Verdana" w:hAnsi="Verdana"/>
                <w:b w:val="0"/>
                <w:sz w:val="16"/>
              </w:rPr>
              <w:t>Description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3 04 039</w:t>
            </w:r>
          </w:p>
        </w:tc>
        <w:tc>
          <w:tcPr>
            <w:tcW w:type="dxa" w:w="3784"/>
          </w:tcPr>
          <w:p>
            <w:pPr>
              <w:spacing w:before="20" w:after="20"/>
            </w:pPr>
            <w:r/>
            <w:r>
              <w:rPr>
                <w:rFonts w:ascii="Verdana" w:hAnsi="Verdana"/>
                <w:b w:val="0"/>
                <w:sz w:val="16"/>
              </w:rPr>
              <w:t>Radiance dans le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3 04 040</w:t>
            </w:r>
          </w:p>
        </w:tc>
        <w:tc>
          <w:tcPr>
            <w:tcW w:type="dxa" w:w="3784"/>
          </w:tcPr>
          <w:p>
            <w:pPr>
              <w:spacing w:before="20" w:after="20"/>
            </w:pPr>
            <w:r/>
            <w:r>
              <w:rPr>
                <w:rFonts w:ascii="Verdana" w:hAnsi="Verdana"/>
                <w:b w:val="0"/>
                <w:sz w:val="16"/>
              </w:rPr>
              <w:t>Score des composantes principales dans la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40 017 (Produit hydrologique de niveau 2 du satellite Sentinel-3 (S3))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t>= 61 Sentinel 3A ou = 65 Sentinel 3B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t>178 (SRAL)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Numéro de cycle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0 01 040</w:t>
            </w:r>
          </w:p>
        </w:tc>
        <w:tc>
          <w:tcPr>
            <w:tcW w:type="dxa" w:w="3784"/>
          </w:tcPr>
          <w:p>
            <w:pPr>
              <w:spacing w:before="20" w:after="20"/>
            </w:pPr>
            <w:r/>
            <w:r>
              <w:rPr>
                <w:rFonts w:ascii="Verdana" w:hAnsi="Verdana"/>
                <w:b w:val="0"/>
                <w:sz w:val="16"/>
              </w:rPr>
              <w:t>Indicatif du centre de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0 25 182</w:t>
            </w:r>
          </w:p>
        </w:tc>
        <w:tc>
          <w:tcPr>
            <w:tcW w:type="dxa" w:w="3784"/>
          </w:tcPr>
          <w:p>
            <w:pPr>
              <w:spacing w:before="20" w:after="20"/>
            </w:pPr>
            <w:r/>
            <w:r>
              <w:rPr>
                <w:rFonts w:ascii="Verdana" w:hAnsi="Verdana"/>
                <w:b w:val="0"/>
                <w:sz w:val="16"/>
              </w:rPr>
              <w:t>Indicateur de traitement de niveau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0 25 183</w:t>
            </w:r>
          </w:p>
        </w:tc>
        <w:tc>
          <w:tcPr>
            <w:tcW w:type="dxa" w:w="3784"/>
          </w:tcPr>
          <w:p>
            <w:pPr>
              <w:spacing w:before="20" w:after="20"/>
            </w:pPr>
            <w:r/>
            <w:r>
              <w:rPr>
                <w:rFonts w:ascii="Verdana" w:hAnsi="Verdana"/>
                <w:b w:val="0"/>
                <w:sz w:val="16"/>
              </w:rPr>
              <w:t>Qualité du traitement de niveau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0 25 181</w:t>
            </w:r>
          </w:p>
        </w:tc>
        <w:tc>
          <w:tcPr>
            <w:tcW w:type="dxa" w:w="3784"/>
          </w:tcPr>
          <w:p>
            <w:pPr>
              <w:spacing w:before="20" w:after="20"/>
            </w:pPr>
            <w:r/>
            <w:r>
              <w:rPr>
                <w:rFonts w:ascii="Verdana" w:hAnsi="Verdana"/>
                <w:b w:val="0"/>
                <w:sz w:val="16"/>
              </w:rPr>
              <w:t>Indicateur de traitement de niveau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0 25 184</w:t>
            </w:r>
          </w:p>
        </w:tc>
        <w:tc>
          <w:tcPr>
            <w:tcW w:type="dxa" w:w="3784"/>
          </w:tcPr>
          <w:p>
            <w:pPr>
              <w:spacing w:before="20" w:after="20"/>
            </w:pPr>
            <w:r/>
            <w:r>
              <w:rPr>
                <w:rFonts w:ascii="Verdana" w:hAnsi="Verdana"/>
                <w:b w:val="0"/>
                <w:sz w:val="16"/>
              </w:rPr>
              <w:t>Catégorie de produit de niveau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Secondes par minute (à la microseconde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0 05 063</w:t>
            </w:r>
          </w:p>
        </w:tc>
        <w:tc>
          <w:tcPr>
            <w:tcW w:type="dxa" w:w="3784"/>
          </w:tcPr>
          <w:p>
            <w:pPr>
              <w:spacing w:before="20" w:after="20"/>
            </w:pPr>
            <w:r/>
            <w:r>
              <w:rPr>
                <w:rFonts w:ascii="Verdana" w:hAnsi="Verdana"/>
                <w:b w:val="0"/>
                <w:sz w:val="16"/>
              </w:rPr>
              <w:t>Roulis de l'engin spatial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0 05 064</w:t>
            </w:r>
          </w:p>
        </w:tc>
        <w:tc>
          <w:tcPr>
            <w:tcW w:type="dxa" w:w="3784"/>
          </w:tcPr>
          <w:p>
            <w:pPr>
              <w:spacing w:before="20" w:after="20"/>
            </w:pPr>
            <w:r/>
            <w:r>
              <w:rPr>
                <w:rFonts w:ascii="Verdana" w:hAnsi="Verdana"/>
                <w:b w:val="0"/>
                <w:sz w:val="16"/>
              </w:rPr>
              <w:t>Tangage de l'engin spatial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0 05 066</w:t>
            </w:r>
          </w:p>
        </w:tc>
        <w:tc>
          <w:tcPr>
            <w:tcW w:type="dxa" w:w="3784"/>
          </w:tcPr>
          <w:p>
            <w:pPr>
              <w:spacing w:before="20" w:after="20"/>
            </w:pPr>
            <w:r/>
            <w:r>
              <w:rPr>
                <w:rFonts w:ascii="Verdana" w:hAnsi="Verdana"/>
                <w:b w:val="0"/>
                <w:sz w:val="16"/>
              </w:rPr>
              <w:t>Lacet de l'engin spatial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du centre de gravité au-dessus de l'ellipsoïde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Taux de variation d'altitude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0 25 090</w:t>
            </w:r>
          </w:p>
        </w:tc>
        <w:tc>
          <w:tcPr>
            <w:tcW w:type="dxa" w:w="3784"/>
          </w:tcPr>
          <w:p>
            <w:pPr>
              <w:spacing w:before="20" w:after="20"/>
            </w:pPr>
            <w:r/>
            <w:r>
              <w:rPr>
                <w:rFonts w:ascii="Verdana" w:hAnsi="Verdana"/>
                <w:b w:val="0"/>
                <w:sz w:val="16"/>
              </w:rPr>
              <w:t>Indicateur de l'état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2 01 137</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 de 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Augmenter l'échelle de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Profondeur de l'océan ou altitude des terres émergées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0 25 096</w:t>
            </w:r>
          </w:p>
        </w:tc>
        <w:tc>
          <w:tcPr>
            <w:tcW w:type="dxa" w:w="3784"/>
          </w:tcPr>
          <w:p>
            <w:pPr>
              <w:spacing w:before="20" w:after="20"/>
            </w:pPr>
            <w:r/>
            <w:r>
              <w:rPr>
                <w:rFonts w:ascii="Verdana" w:hAnsi="Verdana"/>
                <w:b w:val="0"/>
                <w:sz w:val="16"/>
              </w:rPr>
              <w:t>Indicateur de l'état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0 40 012</w:t>
            </w:r>
          </w:p>
        </w:tc>
        <w:tc>
          <w:tcPr>
            <w:tcW w:type="dxa" w:w="3784"/>
          </w:tcPr>
          <w:p>
            <w:pPr>
              <w:spacing w:before="20" w:after="20"/>
            </w:pPr>
            <w:r/>
            <w:r>
              <w:rPr>
                <w:rFonts w:ascii="Verdana" w:hAnsi="Verdana"/>
                <w:b w:val="0"/>
                <w:sz w:val="16"/>
              </w:rPr>
              <w:t>Indicateur de qualité des données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Type de surface détecté par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Répéter 4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0 12 065</w:t>
            </w:r>
          </w:p>
        </w:tc>
        <w:tc>
          <w:tcPr>
            <w:tcW w:type="dxa" w:w="3784"/>
          </w:tcPr>
          <w:p>
            <w:pPr>
              <w:spacing w:before="20" w:after="20"/>
            </w:pPr>
            <w:r/>
            <w:r>
              <w:rPr>
                <w:rFonts w:ascii="Verdana" w:hAnsi="Verdana"/>
                <w:b w:val="0"/>
                <w:sz w:val="16"/>
              </w:rPr>
              <w:t>Écart type de la 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0 40 013</w:t>
            </w:r>
          </w:p>
        </w:tc>
        <w:tc>
          <w:tcPr>
            <w:tcW w:type="dxa" w:w="3784"/>
          </w:tcPr>
          <w:p>
            <w:pPr>
              <w:spacing w:before="20" w:after="20"/>
            </w:pPr>
            <w:r/>
            <w:r>
              <w:rPr>
                <w:rFonts w:ascii="Verdana" w:hAnsi="Verdana"/>
                <w:b w:val="0"/>
                <w:sz w:val="16"/>
              </w:rPr>
              <w:t>Indicateur d'interprétation de la température de luminance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0 11 098</w:t>
            </w:r>
          </w:p>
        </w:tc>
        <w:tc>
          <w:tcPr>
            <w:tcW w:type="dxa" w:w="3784"/>
          </w:tcPr>
          <w:p>
            <w:pPr>
              <w:spacing w:before="20" w:after="20"/>
            </w:pPr>
            <w:r/>
            <w:r>
              <w:rPr>
                <w:rFonts w:ascii="Verdana" w:hAnsi="Verdana"/>
                <w:b w:val="0"/>
                <w:sz w:val="16"/>
              </w:rPr>
              <w:t>Vitesse du vent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Teneur en vapeur d'eau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Teneur en eau liquide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Correction de troposphère humide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0 25 095</w:t>
            </w:r>
          </w:p>
        </w:tc>
        <w:tc>
          <w:tcPr>
            <w:tcW w:type="dxa" w:w="3784"/>
          </w:tcPr>
          <w:p>
            <w:pPr>
              <w:spacing w:before="20" w:after="20"/>
            </w:pPr>
            <w:r/>
            <w:r>
              <w:rPr>
                <w:rFonts w:ascii="Verdana" w:hAnsi="Verdana"/>
                <w:b w:val="0"/>
                <w:sz w:val="16"/>
              </w:rPr>
              <w:t>Indicateur de l'état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0 40 023</w:t>
            </w:r>
          </w:p>
        </w:tc>
        <w:tc>
          <w:tcPr>
            <w:tcW w:type="dxa" w:w="3784"/>
          </w:tcPr>
          <w:p>
            <w:pPr>
              <w:spacing w:before="20" w:after="20"/>
            </w:pPr>
            <w:r/>
            <w:r>
              <w:rPr>
                <w:rFonts w:ascii="Verdana" w:hAnsi="Verdana"/>
                <w:b w:val="0"/>
                <w:sz w:val="16"/>
              </w:rPr>
              <w:t>Indicateur de l'état de l'altimètre auxiliaire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Indicateur de qualité de la correction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0 08 074</w:t>
            </w:r>
          </w:p>
        </w:tc>
        <w:tc>
          <w:tcPr>
            <w:tcW w:type="dxa" w:w="3784"/>
          </w:tcPr>
          <w:p>
            <w:pPr>
              <w:spacing w:before="20" w:after="20"/>
            </w:pPr>
            <w:r/>
            <w:r>
              <w:rPr>
                <w:rFonts w:ascii="Verdana" w:hAnsi="Verdana"/>
                <w:b w:val="0"/>
                <w:sz w:val="16"/>
              </w:rPr>
              <w:t>Type d'écho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0 25 190</w:t>
            </w:r>
          </w:p>
        </w:tc>
        <w:tc>
          <w:tcPr>
            <w:tcW w:type="dxa" w:w="3784"/>
          </w:tcPr>
          <w:p>
            <w:pPr>
              <w:spacing w:before="20" w:after="20"/>
            </w:pPr>
            <w:r/>
            <w:r>
              <w:rPr>
                <w:rFonts w:ascii="Verdana" w:hAnsi="Verdana"/>
                <w:b w:val="0"/>
                <w:sz w:val="16"/>
              </w:rPr>
              <w:t>Mode de traitement d'écho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Indicateur de pluie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0 25 191</w:t>
            </w:r>
          </w:p>
        </w:tc>
        <w:tc>
          <w:tcPr>
            <w:tcW w:type="dxa" w:w="3784"/>
          </w:tcPr>
          <w:p>
            <w:pPr>
              <w:spacing w:before="20" w:after="20"/>
            </w:pPr>
            <w:r/>
            <w:r>
              <w:rPr>
                <w:rFonts w:ascii="Verdana" w:hAnsi="Verdana"/>
                <w:b w:val="0"/>
                <w:sz w:val="16"/>
              </w:rPr>
              <w:t>Mode de localisation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0 21 143</w:t>
            </w:r>
          </w:p>
        </w:tc>
        <w:tc>
          <w:tcPr>
            <w:tcW w:type="dxa" w:w="3784"/>
          </w:tcPr>
          <w:p>
            <w:pPr>
              <w:spacing w:before="20" w:after="20"/>
            </w:pPr>
            <w:r/>
            <w:r>
              <w:rPr>
                <w:rFonts w:ascii="Verdana" w:hAnsi="Verdana"/>
                <w:b w:val="0"/>
                <w:sz w:val="16"/>
              </w:rPr>
              <w:t>Atténuation par la pluie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Intensité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Indicateur de présence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Carré de l'angle de décalage du satellite par rapport au nadir, calculé à partir de la forme des 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0 15 012</w:t>
            </w:r>
          </w:p>
        </w:tc>
        <w:tc>
          <w:tcPr>
            <w:tcW w:type="dxa" w:w="3784"/>
          </w:tcPr>
          <w:p>
            <w:pPr>
              <w:spacing w:before="20" w:after="20"/>
            </w:pPr>
            <w:r/>
            <w:r>
              <w:rPr>
                <w:rFonts w:ascii="Verdana" w:hAnsi="Verdana"/>
                <w:b w:val="0"/>
                <w:sz w:val="16"/>
              </w:rPr>
              <w:t>Nombre total d'électrons par mètre carré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Vitesse du vent indiquée par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0 40 024</w:t>
            </w:r>
          </w:p>
        </w:tc>
        <w:tc>
          <w:tcPr>
            <w:tcW w:type="dxa" w:w="3784"/>
          </w:tcPr>
          <w:p>
            <w:pPr>
              <w:spacing w:before="20" w:after="20"/>
            </w:pPr>
            <w:r/>
            <w:r>
              <w:rPr>
                <w:rFonts w:ascii="Verdana" w:hAnsi="Verdana"/>
                <w:b w:val="0"/>
                <w:sz w:val="16"/>
              </w:rPr>
              <w:t>Existence de cartes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Correction de troposphère sèche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Correction de troposphère humide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Indicateur d'interpolation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Hauteur géocentrique totale de marée océanique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Hauteur géocentrique totale de marée océanique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Hauteur de marée pour une période prolongée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Hauteur de marée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Hauteur géocentrique de marée polaire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Hauteur de la marée de charge pour le calcul de la marée géocentrique -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Hauteur de la marée de charge pour le calcul de la marée géocentrique -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Hauteur de marée pour une période prolongée hors d'équilibre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Correction de baromètre inverse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Fluctuations haute fréquence de la correction topographique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Hauteur moyenne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Hauteur du géoïde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Topographie dynamique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0 10 103</w:t>
            </w:r>
          </w:p>
        </w:tc>
        <w:tc>
          <w:tcPr>
            <w:tcW w:type="dxa" w:w="3784"/>
          </w:tcPr>
          <w:p>
            <w:pPr>
              <w:spacing w:before="20" w:after="20"/>
            </w:pPr>
            <w:r/>
            <w:r>
              <w:rPr>
                <w:rFonts w:ascii="Verdana" w:hAnsi="Verdana"/>
                <w:b w:val="0"/>
                <w:sz w:val="16"/>
              </w:rPr>
              <w:t>Précision de la topographie dynamique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Anomalie de hauteur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Fréquence centrale des bandes d'ondes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Moyenne quadratique de l'intervalle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Nombre de points corrects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Correction ionosphérique - modèle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Correction du biais d'état de la mer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Correction finale de l'erreur instrumentale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Coefficient de rétrodiffusion corrigé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Coefficient de rétrodiffusion corrigé type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Nombre de points corrects pour la rétrodiffusion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0 21 122</w:t>
            </w:r>
          </w:p>
        </w:tc>
        <w:tc>
          <w:tcPr>
            <w:tcW w:type="dxa" w:w="3784"/>
          </w:tcPr>
          <w:p>
            <w:pPr>
              <w:spacing w:before="20" w:after="20"/>
            </w:pPr>
            <w:r/>
            <w:r>
              <w:rPr>
                <w:rFonts w:ascii="Verdana" w:hAnsi="Verdana"/>
                <w:b w:val="0"/>
                <w:sz w:val="16"/>
              </w:rPr>
              <w:t>Correction d'atténuation sur sigma-0 (sur la base de tB)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Moyenne quadratique de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Nombre de points corrects de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Correction finale de l'erreur instrumentale pour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0 21 186</w:t>
            </w:r>
          </w:p>
        </w:tc>
        <w:tc>
          <w:tcPr>
            <w:tcW w:type="dxa" w:w="3784"/>
          </w:tcPr>
          <w:p>
            <w:pPr>
              <w:spacing w:before="20" w:after="20"/>
            </w:pPr>
            <w:r/>
            <w:r>
              <w:rPr>
                <w:rFonts w:ascii="Verdana" w:hAnsi="Verdana"/>
                <w:b w:val="0"/>
                <w:sz w:val="16"/>
              </w:rPr>
              <w:t>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0 21 187</w:t>
            </w:r>
          </w:p>
        </w:tc>
        <w:tc>
          <w:tcPr>
            <w:tcW w:type="dxa" w:w="3784"/>
          </w:tcPr>
          <w:p>
            <w:pPr>
              <w:spacing w:before="20" w:after="20"/>
            </w:pPr>
            <w:r/>
            <w:r>
              <w:rPr>
                <w:rFonts w:ascii="Verdana" w:hAnsi="Verdana"/>
                <w:b w:val="0"/>
                <w:sz w:val="16"/>
              </w:rPr>
              <w:t>Moyenne quadratique de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0 21 188</w:t>
            </w:r>
          </w:p>
        </w:tc>
        <w:tc>
          <w:tcPr>
            <w:tcW w:type="dxa" w:w="3784"/>
          </w:tcPr>
          <w:p>
            <w:pPr>
              <w:spacing w:before="20" w:after="20"/>
            </w:pPr>
            <w:r/>
            <w:r>
              <w:rPr>
                <w:rFonts w:ascii="Verdana" w:hAnsi="Verdana"/>
                <w:b w:val="0"/>
                <w:sz w:val="16"/>
              </w:rPr>
              <w:t>Nombre de points corrects pour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Correction finale de l'erreur instrumentale pour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Indicateur de qualité des données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Indicateur de qualité de la correction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Indicateur de qualité des données sur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de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Moyenne quadratique de l'intervalle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Nombre de points corrects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Correction ionosphérique - modèle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Correction du biais d'état de la mer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Correction finale de l'erreur instrumentale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Coefficient de rétrodiffusion corrigé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Coefficient de rétrodiffusion corrigé type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Nombre de points corrects pour la rétrodiffusion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0 21 122</w:t>
            </w:r>
          </w:p>
        </w:tc>
        <w:tc>
          <w:tcPr>
            <w:tcW w:type="dxa" w:w="3784"/>
          </w:tcPr>
          <w:p>
            <w:pPr>
              <w:spacing w:before="20" w:after="20"/>
            </w:pPr>
            <w:r/>
            <w:r>
              <w:rPr>
                <w:rFonts w:ascii="Verdana" w:hAnsi="Verdana"/>
                <w:b w:val="0"/>
                <w:sz w:val="16"/>
              </w:rPr>
              <w:t>Correction d'atténuation sur sigma-0 (sur la base de tB)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Moyenne quadratique de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Nombre de points corrects de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Correction finale de l'erreur instrumentale pour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0 21 186</w:t>
            </w:r>
          </w:p>
        </w:tc>
        <w:tc>
          <w:tcPr>
            <w:tcW w:type="dxa" w:w="3784"/>
          </w:tcPr>
          <w:p>
            <w:pPr>
              <w:spacing w:before="20" w:after="20"/>
            </w:pPr>
            <w:r/>
            <w:r>
              <w:rPr>
                <w:rFonts w:ascii="Verdana" w:hAnsi="Verdana"/>
                <w:b w:val="0"/>
                <w:sz w:val="16"/>
              </w:rPr>
              <w:t>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0 21 187</w:t>
            </w:r>
          </w:p>
        </w:tc>
        <w:tc>
          <w:tcPr>
            <w:tcW w:type="dxa" w:w="3784"/>
          </w:tcPr>
          <w:p>
            <w:pPr>
              <w:spacing w:before="20" w:after="20"/>
            </w:pPr>
            <w:r/>
            <w:r>
              <w:rPr>
                <w:rFonts w:ascii="Verdana" w:hAnsi="Verdana"/>
                <w:b w:val="0"/>
                <w:sz w:val="16"/>
              </w:rPr>
              <w:t>Moyenne quadratique de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0 21 188</w:t>
            </w:r>
          </w:p>
        </w:tc>
        <w:tc>
          <w:tcPr>
            <w:tcW w:type="dxa" w:w="3784"/>
          </w:tcPr>
          <w:p>
            <w:pPr>
              <w:spacing w:before="20" w:after="20"/>
            </w:pPr>
            <w:r/>
            <w:r>
              <w:rPr>
                <w:rFonts w:ascii="Verdana" w:hAnsi="Verdana"/>
                <w:b w:val="0"/>
                <w:sz w:val="16"/>
              </w:rPr>
              <w:t>Nombre de points corrects pour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Correction finale de l'erreur instrumentale pour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Indicateur de qualité des données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Indicateur de qualité de la correction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Indicateur de qualité des données sur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0 25 190</w:t>
            </w:r>
          </w:p>
        </w:tc>
        <w:tc>
          <w:tcPr>
            <w:tcW w:type="dxa" w:w="3784"/>
          </w:tcPr>
          <w:p>
            <w:pPr>
              <w:spacing w:before="20" w:after="20"/>
            </w:pPr>
            <w:r/>
            <w:r>
              <w:rPr>
                <w:rFonts w:ascii="Verdana" w:hAnsi="Verdana"/>
                <w:b w:val="0"/>
                <w:sz w:val="16"/>
              </w:rPr>
              <w:t>Mode de traitement de l'écho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Vitesse du vent indiquée par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Teneur en vapeur d'eau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Teneur en eau liquide indiquée par le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0 21 143</w:t>
            </w:r>
          </w:p>
        </w:tc>
        <w:tc>
          <w:tcPr>
            <w:tcW w:type="dxa" w:w="3784"/>
          </w:tcPr>
          <w:p>
            <w:pPr>
              <w:spacing w:before="20" w:after="20"/>
            </w:pPr>
            <w:r/>
            <w:r>
              <w:rPr>
                <w:rFonts w:ascii="Verdana" w:hAnsi="Verdana"/>
                <w:b w:val="0"/>
                <w:sz w:val="16"/>
              </w:rPr>
              <w:t>Atténuation par la pluie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Coefficient de rétrodiffusion corrigé type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Correction de troposphère humide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0 25 163</w:t>
            </w:r>
          </w:p>
        </w:tc>
        <w:tc>
          <w:tcPr>
            <w:tcW w:type="dxa" w:w="3784"/>
          </w:tcPr>
          <w:p>
            <w:pPr>
              <w:spacing w:before="20" w:after="20"/>
            </w:pPr>
            <w:r/>
            <w:r>
              <w:rPr>
                <w:rFonts w:ascii="Verdana" w:hAnsi="Verdana"/>
                <w:b w:val="0"/>
                <w:sz w:val="16"/>
              </w:rPr>
              <w:t>Correction ionosphérique de l'altimètre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Correction de troposphère humide du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Anomalie de hauteur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Moyenne quadratique de l'intervalle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Nombre de points corrects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Correction du biais d'état de la mer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Coefficient de rétrodiffusion corrigé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Coefficient de rétrodiffusion corrigé type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Nombre de points corrects pour la rétrodiffusion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Moyenne quadratique de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Nombre de points corrects de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Indicateur de qualité des données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Indicateur de qualité de la correction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Indicateur de qualité des données sur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0 08 049</w:t>
            </w:r>
          </w:p>
        </w:tc>
        <w:tc>
          <w:tcPr>
            <w:tcW w:type="dxa" w:w="3784"/>
          </w:tcPr>
          <w:p>
            <w:pPr>
              <w:spacing w:before="20" w:after="20"/>
            </w:pPr>
            <w:r/>
            <w:r>
              <w:rPr>
                <w:rFonts w:ascii="Verdana" w:hAnsi="Verdana"/>
                <w:b w:val="0"/>
                <w:sz w:val="16"/>
              </w:rPr>
              <w:t>Nombre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Fréquence centrale des bandes d'ondes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1 34 021</w:t>
            </w:r>
          </w:p>
        </w:tc>
        <w:tc>
          <w:tcPr>
            <w:tcW w:type="dxa" w:w="3784"/>
          </w:tcPr>
          <w:p>
            <w:pPr>
              <w:spacing w:before="20" w:after="20"/>
            </w:pPr>
            <w:r/>
            <w:r>
              <w:rPr>
                <w:rFonts w:ascii="Verdana" w:hAnsi="Verdana"/>
                <w:b w:val="0"/>
                <w:sz w:val="16"/>
              </w:rPr>
              <w:t>Répéter 34 descripteurs 21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Secondes par minute (à la microseconde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du centre de gravité au-dessus de l'ellipsoïde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Taux de variation d'altitude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2 01 137</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9 bits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Ajouter 1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0 25 191</w:t>
            </w:r>
          </w:p>
        </w:tc>
        <w:tc>
          <w:tcPr>
            <w:tcW w:type="dxa" w:w="3784"/>
          </w:tcPr>
          <w:p>
            <w:pPr>
              <w:spacing w:before="20" w:after="20"/>
            </w:pPr>
            <w:r/>
            <w:r>
              <w:rPr>
                <w:rFonts w:ascii="Verdana" w:hAnsi="Verdana"/>
                <w:b w:val="0"/>
                <w:sz w:val="16"/>
              </w:rPr>
              <w:t>Mode de localisation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0 21 071</w:t>
            </w:r>
          </w:p>
        </w:tc>
        <w:tc>
          <w:tcPr>
            <w:tcW w:type="dxa" w:w="3784"/>
          </w:tcPr>
          <w:p>
            <w:pPr>
              <w:spacing w:before="20" w:after="20"/>
            </w:pPr>
            <w:r/>
            <w:r>
              <w:rPr>
                <w:rFonts w:ascii="Verdana" w:hAnsi="Verdana"/>
                <w:b w:val="0"/>
                <w:sz w:val="16"/>
              </w:rPr>
              <w:t>Maxima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Hauteur moyenne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Indicateur d'interpolation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Anomalie de hauteur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Intervalle océanique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0 22 146</w:t>
            </w:r>
          </w:p>
        </w:tc>
        <w:tc>
          <w:tcPr>
            <w:tcW w:type="dxa" w:w="3784"/>
          </w:tcPr>
          <w:p>
            <w:pPr>
              <w:spacing w:before="20" w:after="20"/>
            </w:pPr>
            <w:r/>
            <w:r>
              <w:rPr>
                <w:rFonts w:ascii="Verdana" w:hAnsi="Verdana"/>
                <w:b w:val="0"/>
                <w:sz w:val="16"/>
              </w:rPr>
              <w:t>Intervalle pour centre de gravité excentré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Correction ionosphérique - modèle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Correction finale de l'erreur instrumentale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Coefficient de rétrodiffusion corrigé pour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Correction finale de l'erreur instrumentale pour la hauteur significative des vagues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0 21 177</w:t>
            </w:r>
          </w:p>
        </w:tc>
        <w:tc>
          <w:tcPr>
            <w:tcW w:type="dxa" w:w="3784"/>
          </w:tcPr>
          <w:p>
            <w:pPr>
              <w:spacing w:before="20" w:after="20"/>
            </w:pPr>
            <w:r/>
            <w:r>
              <w:rPr>
                <w:rFonts w:ascii="Verdana" w:hAnsi="Verdana"/>
                <w:b w:val="0"/>
                <w:sz w:val="16"/>
              </w:rPr>
              <w:t>Coefficient de rétrodiffusion corrigé - centre de gravité excentré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Correction finale de l'erreur instrumentale pour la commande automatique de gain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0 13 164</w:t>
            </w:r>
          </w:p>
        </w:tc>
        <w:tc>
          <w:tcPr>
            <w:tcW w:type="dxa" w:w="3784"/>
          </w:tcPr>
          <w:p>
            <w:pPr>
              <w:spacing w:before="20" w:after="20"/>
            </w:pPr>
            <w:r/>
            <w:r>
              <w:rPr>
                <w:rFonts w:ascii="Verdana" w:hAnsi="Verdana"/>
                <w:b w:val="0"/>
                <w:sz w:val="16"/>
              </w:rPr>
              <w:t>Franc-bord pour les glaces de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Soustraire 2 bits de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0 22 046</w:t>
            </w:r>
          </w:p>
        </w:tc>
        <w:tc>
          <w:tcPr>
            <w:tcW w:type="dxa" w:w="3784"/>
          </w:tcPr>
          <w:p>
            <w:pPr>
              <w:spacing w:before="20" w:after="20"/>
            </w:pPr>
            <w:r/>
            <w:r>
              <w:rPr>
                <w:rFonts w:ascii="Verdana" w:hAnsi="Verdana"/>
                <w:b w:val="0"/>
                <w:sz w:val="16"/>
              </w:rPr>
              <w:t>Fraction de glace de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0 13 117</w:t>
            </w:r>
          </w:p>
        </w:tc>
        <w:tc>
          <w:tcPr>
            <w:tcW w:type="dxa" w:w="3784"/>
          </w:tcPr>
          <w:p>
            <w:pPr>
              <w:spacing w:before="20" w:after="20"/>
            </w:pPr>
            <w:r/>
            <w:r>
              <w:rPr>
                <w:rFonts w:ascii="Verdana" w:hAnsi="Verdana"/>
                <w:b w:val="0"/>
                <w:sz w:val="16"/>
              </w:rPr>
              <w:t>Masse volumique de la neige (teneur en eau liquide)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Indicateur de qualité des données de l'altimètre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Indicateur de qualité des données sur l'océan dans une bande précise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