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00: Элементы таблицы кодов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A: элемент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A: описание категории данных, строка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Таблица A: описание категории данных, строка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Эталонная таблица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98: Эталонные таблицы описаны в примечании 2 к разделу 1 правил BUFR (см. «Спецификации содержания октетов»).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издания кодов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эталонной таблицы для кода BUFR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эталонной таблицы для кода 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40: Уровни собственной вертикальной координаты модели, не находящиеся у поверхности, преобразуются в координату давления. Это делает уровни намного более понятными для интерпретации человеком и проще для использования общими демонстрационными приложениями. Эти уровни могут точно соответственно собственным уровням модели или могут быть интерполированы между уровнями модели и уровнями давления, выбранными центром-производителем.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местной таблицы для кода BUFR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В последовательностях 3 07 045, 3 07 048 и 3 07 053 скорость ветра должна сообщаться в тех же единицах, как и в исходных данных ТАС и: дескриптор 0 11 083 должен быть установлен на отсутствие, если скорость ветра сообщается в узлах или м·с-1 в данных ТАС, дескриптор 0 11 084 должен быть установлен на отсутствие, если скорость ветра сообщается в км·ч-1 или м·с-1 в данных ТАС.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единиц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 единиц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единицы начала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бита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