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19: Синоптические характеристики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138: Эффективный радиус синоптической характеристики следует определять относительно радиуса изобары 1000 гПа на среднем уровне моря.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Максимальный ветер и эффективный радиус максимального ветра должны быть указаны посредством элементов 0 19 003 и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Максимальный ветер и эффективный радиус максимального ветра должны быть указаны посредством элементов 0 19 003 и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 (большие штормы)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Диаметр основной оси глаза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последнего 24-часового изменения (+: развитие, –: ослабление)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Окончательный тропический (Т) номер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окончательного Т номера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