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23: Рассеивание и перенос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Оперативное оповещение об аварии — применимая статья Конвенции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Деятельность или установка, связанные с происшествием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Контрмеры, принятые близ границы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происшествия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Ситуация, связанная с происшествием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текущего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ожидаемого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Возможность значительного химикотоксического воздействия на здоровье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Расход потока в главном приемнике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Поведение выброса во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Фактическая высота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Эффективная высота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до точки выброса или места происшествия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атмосфере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воде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грунтовых водах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атмосфере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воде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грунтовой воде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Возможность взаимодействия шлейфа с осадками, выпавшими в стране происхождения аварии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Воздействие на шлейф изменения в направлении и/или флаге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Расход потока — река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Расход потока — колодец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