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33: Информация о качестве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контроля качества последующей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последующей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Номинальный порог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корреляции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наземных ГЛОНАСС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о радиозатмении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AST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примечания 1 и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Условная вероятность последующего события по отношению к указанному определяющему событию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примечания 1, 2 и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достоверности инверсии 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вектора атмосферной циркуляции (ВАЦ)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измерений общего содержания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измерений профиля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геоположения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гранул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данных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геоположения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данных по излучению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уровня элемента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оптической плотности аэрозоля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воспроизведения уровня элемента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Участок орбиты спутника в пределах Южно-атлантической аномалии (на основе климатологических данных)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общего содержания озона в столбе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калибровки по теплой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калибровки по холодной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общей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