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10: Последовательности вертикального зондирования</w:t>
      </w:r>
    </w:p>
    <w:p>
      <w:r>
        <w:rPr>
          <w:rFonts w:ascii="Verdana" w:hAnsi="Verdana"/>
          <w:b/>
          <w:sz w:val="18"/>
        </w:rPr>
        <w:t>3 10 001 (спутниковые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канал и 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10 002 (Спутник — низкий уровень)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9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10 003 (Спутник — высокий уровень)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10 004 (Спутник — осаждаемая вода)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Осаждаемая вода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канал и 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Осаждаемая вода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10 008 (Сводка с ATOVS HIRS)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поля зрения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19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канала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Альбедо-энергетическая освещенность после фильтрации солнечного излучения,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Альбедо-эквивалентная ширина фильтрации излучения,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каналов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10 009 (Сводка с AMSU-A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поля зрения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канала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10 010 (Сводка с AMSU-B/MHS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поля зрения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канала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10 011 (Параметры поля зрения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продукции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продукции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спутникового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варианта коррекции спутниковой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статуса сканирующей строки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сканирующей строки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поля зрения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10 012 (Параметры канала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(центрального волнового числа температуры — излучения) для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1 коррекции ширины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2 коррекции ширины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каналов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 (Сводка с AVHRR (GAC))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10 013 (Сводка с AVHRR (GAC))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четких элементов изображения в поле зрения HIRS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10 014 (Данные о ветре c геостационарного спутника)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спутника, дата/ время, широта/ 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данных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GOES-I/M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10 015 (Данные Метеосат об излучении)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данных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Часть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прибор, используемый при обработке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интегрированной средней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ясного неба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10 016 (Данные об излучении со спутника Метеосат второго поколения (МВП))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данных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12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Часть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прибор, используемый при обработке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интегрированной средней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12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ясного неба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10 018 (Данные по озону)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 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интеграции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 измерении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Поверхность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У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Верхняя граница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предела, представленный последующим значением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Исключая нижний предел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ниже верхней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Снежный покров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аэрозольного загрязнения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восходящей/нисходящей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10 019 (Данные по озону)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624 SBUV/2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