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40: Satellite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soil moisture (ms)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surface soil moisture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surface soil moisture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fall detection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correction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processing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Frozen land surface fraction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Inundation and wetland fraction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Topographic complexity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Radiometer brightness temperature interpretation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High-frequency fluctuations of the sea-surface topography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differential vegetation index (NDVI)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- average of imager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- variance of imager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- quality flag for the system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of weighted AVHRR pixel in IASI FOV covered with snow/ice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missing, bad or failed AVHRR pixels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Auxiliary altimeter state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map availability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flag for mean diurnal tide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glint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GMI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observation integration 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line of sight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estimate of horizontal line of sight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pressure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Derivative wind to backscatter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range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Lidar L2b classification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intensity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skewness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kurtosis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Single look complex image variance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manoeuvre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formation and height assignment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Cloudiness summary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Validation flag of AMSU-A level 1 data flow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tests executed and results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initialisation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Potential processing and inputs errors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Diagnostics on the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 xml:space="preserve">Code table 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eigenvalues of the sensitivity matrix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error for surface air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114: Piece-wise linear regression cube is a first-guess optimal estimation method.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error of surface dewpoint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ozone in principal component domain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quality indicator of atmospheric ozone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PWLR estimated retrieval error of surface skin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General interferometry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product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OLCI Level 1 classification and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