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22</w:t>
      </w:r>
    </w:p>
    <w:p>
      <w:r>
        <w:rPr>
          <w:rFonts w:ascii="Verdana" w:hAnsi="Verdana"/>
          <w:b/>
          <w:sz w:val="18"/>
        </w:rPr>
        <w:t>0 22 056  Dirección del perfil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Perfil ascendente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Perfil descendente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22 060  Estado del ancla flotante de la boya lagrangiana a la deriva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Ancla flotante desprendida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Ancla flotante fijada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Estado de ancla flotante desconocido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22 061  Estado del mar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Calmo (como un espejo)</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Calmo (rizado)</w:t>
            </w:r>
          </w:p>
        </w:tc>
        <w:tc>
          <w:tcPr>
            <w:tcW w:type="dxa" w:w="3784"/>
          </w:tcPr>
          <w:p>
            <w:pPr>
              <w:spacing w:before="20" w:after="20"/>
            </w:pPr>
            <w:r/>
            <w:r>
              <w:rPr>
                <w:rFonts w:ascii="Verdana" w:hAnsi="Verdana"/>
                <w:b w:val="0"/>
                <w:sz w:val="16"/>
              </w:rPr>
              <w:t>0-0,1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Ondulado</w:t>
            </w:r>
          </w:p>
        </w:tc>
        <w:tc>
          <w:tcPr>
            <w:tcW w:type="dxa" w:w="3784"/>
          </w:tcPr>
          <w:p>
            <w:pPr>
              <w:spacing w:before="20" w:after="20"/>
            </w:pPr>
            <w:r/>
            <w:r>
              <w:rPr>
                <w:rFonts w:ascii="Verdana" w:hAnsi="Verdana"/>
                <w:b w:val="0"/>
                <w:sz w:val="16"/>
              </w:rPr>
              <w:t>0,1-0,5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Ligeramente agitado</w:t>
            </w:r>
          </w:p>
        </w:tc>
        <w:tc>
          <w:tcPr>
            <w:tcW w:type="dxa" w:w="3784"/>
          </w:tcPr>
          <w:p>
            <w:pPr>
              <w:spacing w:before="20" w:after="20"/>
            </w:pPr>
            <w:r/>
            <w:r>
              <w:rPr>
                <w:rFonts w:ascii="Verdana" w:hAnsi="Verdana"/>
                <w:b w:val="0"/>
                <w:sz w:val="16"/>
              </w:rPr>
              <w:t>0,5-1,25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Agitado</w:t>
            </w:r>
          </w:p>
        </w:tc>
        <w:tc>
          <w:tcPr>
            <w:tcW w:type="dxa" w:w="3784"/>
          </w:tcPr>
          <w:p>
            <w:pPr>
              <w:spacing w:before="20" w:after="20"/>
            </w:pPr>
            <w:r/>
            <w:r>
              <w:rPr>
                <w:rFonts w:ascii="Verdana" w:hAnsi="Verdana"/>
                <w:b w:val="0"/>
                <w:sz w:val="16"/>
              </w:rPr>
              <w:t>1,25-2,5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Grueso</w:t>
            </w:r>
          </w:p>
        </w:tc>
        <w:tc>
          <w:tcPr>
            <w:tcW w:type="dxa" w:w="3784"/>
          </w:tcPr>
          <w:p>
            <w:pPr>
              <w:spacing w:before="20" w:after="20"/>
            </w:pPr>
            <w:r/>
            <w:r>
              <w:rPr>
                <w:rFonts w:ascii="Verdana" w:hAnsi="Verdana"/>
                <w:b w:val="0"/>
                <w:sz w:val="16"/>
              </w:rPr>
              <w:t>2,5-4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Muy grueso</w:t>
            </w:r>
          </w:p>
        </w:tc>
        <w:tc>
          <w:tcPr>
            <w:tcW w:type="dxa" w:w="3784"/>
          </w:tcPr>
          <w:p>
            <w:pPr>
              <w:spacing w:before="20" w:after="20"/>
            </w:pPr>
            <w:r/>
            <w:r>
              <w:rPr>
                <w:rFonts w:ascii="Verdana" w:hAnsi="Verdana"/>
                <w:b w:val="0"/>
                <w:sz w:val="16"/>
              </w:rPr>
              <w:t>4-6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Alto</w:t>
            </w:r>
          </w:p>
        </w:tc>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Muy alto</w:t>
            </w:r>
          </w:p>
        </w:tc>
        <w:tc>
          <w:tcPr>
            <w:tcW w:type="dxa" w:w="3784"/>
          </w:tcPr>
          <w:p>
            <w:pPr>
              <w:spacing w:before="20" w:after="20"/>
            </w:pPr>
            <w:r/>
            <w:r>
              <w:rPr>
                <w:rFonts w:ascii="Verdana" w:hAnsi="Verdana"/>
                <w:b w:val="0"/>
                <w:sz w:val="16"/>
              </w:rPr>
              <w:t>9-14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Montañoso</w:t>
            </w:r>
          </w:p>
        </w:tc>
        <w:tc>
          <w:tcPr>
            <w:tcW w:type="dxa" w:w="3784"/>
          </w:tcPr>
          <w:p>
            <w:pPr>
              <w:spacing w:before="20" w:after="20"/>
            </w:pPr>
            <w:r/>
            <w:r>
              <w:rPr>
                <w:rFonts w:ascii="Verdana" w:hAnsi="Verdana"/>
                <w:b w:val="0"/>
                <w:sz w:val="16"/>
              </w:rPr>
              <w:t>Superior a 14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p>
      <w:r>
        <w:rPr>
          <w:rFonts w:ascii="Verdana" w:hAnsi="Verdana"/>
          <w:b/>
          <w:sz w:val="18"/>
        </w:rPr>
        <w:t>0 22 067  Tipo de instrumento para la medición del perfil de la temperatura/salinidad del agua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8: Véase la Tabla de cifrado común C–3</w:t>
      </w:r>
    </w:p>
    <w:p/>
    <w:p>
      <w:r>
        <w:rPr>
          <w:rFonts w:ascii="Verdana" w:hAnsi="Verdana"/>
          <w:b/>
          <w:sz w:val="18"/>
        </w:rPr>
        <w:t>0 22 068  Tipo de registrador del perfil de la temperatura del agua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9: Véase la Tabla de cifrado común C–4</w:t>
      </w:r>
    </w:p>
    <w:p/>
    <w:p>
      <w:r>
        <w:rPr>
          <w:rFonts w:ascii="Verdana" w:hAnsi="Verdana"/>
          <w:b/>
          <w:sz w:val="18"/>
        </w:rPr>
        <w:t>0 22 120  Verificación automática del nivel del agua realizada por una estación de observación de mareas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Datos de buena calidad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Excedido el límite del nivel máximo (superior)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Excedido el límite del nivel mínimo (inferior)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Excedida la proporción de cambio de límite para 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Excedido el límite uniforme para 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Límite excedido del valor del nivel del agua observado menos el del previsto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Valor observado del sensor primario del nivel del agua menos el del sensor de reserva de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excedido de la tolerancia especificada del valor previsto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Límites excedidos (desviación medida y/o valores fuera de los límites) del parámetro de garantía de la calidad (GC) del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Temperatura del mar fuera del rango previsto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Falla de múltiples pruebas de control de la calidad (QC) (véase más arriba)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No se realizaron verificaciones automáticas del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22 121  Verificación manual del nivel del agua realizada por una estación de observación de mareas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servicio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Posible problema de bloqueo; de lo contrario, degradación de los datos sobre 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Posible desplazamiento de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 desconoce el estado del sensor del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Problema conocido o sospechado del sensor de la temperatura del 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Posibilidad de múltiples problemas (véase más arriba)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Datos malos - ¡NO DIFUNDIRLOS!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 se realizaron verificaciones manuales del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22 122  Verificación automática de los datos meteorológicos realizada por una estación de observación de mareas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Datos de buena calidad provenientes de todos los sensores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Dirección del viento fuera de los límites autorizados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Velocidad del viento fuera de los límites previstos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Presión barométrica fuera de los límites previstos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Temperatura del aire fuera de los límites previstos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Varios sensores fallaron durante las pruebas de control de la calidad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No se realizaron verificaciones automáticas de los datos meteorológicos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22 123  Verificación manual de los datos meteorológicos realizada por una estación de observación de mareas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servicio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Problema conocido o sospechado del sensor de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Problema conocido o sospechado del sensor de presión barométrica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Problema conocido o sospechado del sensor de temperatura del 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 desconoce el estado de todos los sensores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Problema conocido o sospechado de varios sensores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Datos malos - ¡NO DIFUNDIRLOS!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 se realizaron verificaciones manuales de los datos meteorológicos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22 178  Tipo de dispositivo de lanzamiento de XBT/XCTD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Desconocida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LM-2A instalado en cubierta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LM-3A portátil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LM-4A a través del casco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Dispositivo de lanzamiento automático AL-12 TSK (hasta 12 sondas)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Dispositivo de lanzamiento automático de XBT del SIO (hasta 6 sondas)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Dispositivo de lanzamiento automático V6 de XBT de los AOML (hasta 6 sondas Deep Blue)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Dispositivo de lanzamiento automático V8.0 de XBT de los AOML (hasta 8 sondas Deep Blue)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Dispositivo de lanzamiento automático V8.1 de XBT de los AOML (hasta 8 sondas Deep Blue y Fast Deep)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33-89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Dispositivo de lanzamiento Devil del CSIRO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91-99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w:t>
            </w:r>
          </w:p>
        </w:tc>
        <w:tc>
          <w:tcPr>
            <w:tcW w:type="dxa" w:w="5046"/>
          </w:tcPr>
          <w:p>
            <w:pPr>
              <w:spacing w:before="20" w:after="20"/>
            </w:pPr>
            <w:r/>
            <w:r>
              <w:rPr>
                <w:rFonts w:ascii="Verdana" w:hAnsi="Verdana"/>
                <w:b w:val="0"/>
                <w:sz w:val="16"/>
              </w:rPr>
              <w:t>Dispositivo de lanzamiento automático MFSTEP (Mediterráneo)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