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01: Identificación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NOMBRE DEL ELEMENTO</w:t>
            </w:r>
          </w:p>
        </w:tc>
        <w:tc>
          <w:tcPr>
            <w:tcW w:type="dxa" w:w="1514"/>
            <w:shd w:val="clear" w:color="auto" w:fill="D9D9D9"/>
          </w:tcPr>
          <w:p>
            <w:pPr>
              <w:spacing w:before="20" w:after="20"/>
            </w:pPr>
            <w:r/>
            <w:r>
              <w:rPr>
                <w:rFonts w:ascii="Verdana" w:hAnsi="Verdana"/>
                <w:b w:val="0"/>
                <w:sz w:val="16"/>
              </w:rPr>
              <w:t>UNIDAD BUFR</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VAL. REF.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UNIDAD CREX</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NOTA</w:t>
            </w:r>
          </w:p>
        </w:tc>
      </w:tr>
      <w:tr>
        <w:trPr>
          <w:cantSplit/>
        </w:trPr>
        <w:tc>
          <w:tcPr>
            <w:tcW w:type="dxa" w:w="1514"/>
          </w:tcPr>
          <w:p>
            <w:pPr>
              <w:spacing w:before="20" w:after="20"/>
            </w:pPr>
            <w:r/>
            <w:r>
              <w:rPr>
                <w:rFonts w:ascii="Verdana" w:hAnsi="Verdana"/>
                <w:b w:val="0"/>
                <w:sz w:val="16"/>
              </w:rPr>
              <w:t>0 01 001</w:t>
            </w:r>
          </w:p>
        </w:tc>
        <w:tc>
          <w:tcPr>
            <w:tcW w:type="dxa" w:w="1514"/>
          </w:tcPr>
          <w:p>
            <w:pPr>
              <w:spacing w:before="20" w:after="20"/>
            </w:pPr>
            <w:r/>
            <w:r>
              <w:rPr>
                <w:rFonts w:ascii="Verdana" w:hAnsi="Verdana"/>
                <w:b w:val="0"/>
                <w:sz w:val="16"/>
              </w:rPr>
              <w:t>Número de bloque de la OMM</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0 01 002</w:t>
            </w:r>
          </w:p>
        </w:tc>
        <w:tc>
          <w:tcPr>
            <w:tcW w:type="dxa" w:w="1514"/>
          </w:tcPr>
          <w:p>
            <w:pPr>
              <w:spacing w:before="20" w:after="20"/>
            </w:pPr>
            <w:r/>
            <w:r>
              <w:rPr>
                <w:rFonts w:ascii="Verdana" w:hAnsi="Verdana"/>
                <w:b w:val="0"/>
                <w:sz w:val="16"/>
              </w:rPr>
              <w:t>Número de la estación de la OMM</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0 01 003</w:t>
            </w:r>
          </w:p>
        </w:tc>
        <w:tc>
          <w:tcPr>
            <w:tcW w:type="dxa" w:w="1514"/>
          </w:tcPr>
          <w:p>
            <w:pPr>
              <w:spacing w:before="20" w:after="20"/>
            </w:pPr>
            <w:r/>
            <w:r>
              <w:rPr>
                <w:rFonts w:ascii="Verdana" w:hAnsi="Verdana"/>
                <w:b w:val="0"/>
                <w:sz w:val="16"/>
              </w:rPr>
              <w:t>Número de Región de la OMM/zona geográfica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0 01 004</w:t>
            </w:r>
          </w:p>
        </w:tc>
        <w:tc>
          <w:tcPr>
            <w:tcW w:type="dxa" w:w="1514"/>
          </w:tcPr>
          <w:p>
            <w:pPr>
              <w:spacing w:before="20" w:after="20"/>
            </w:pPr>
            <w:r/>
            <w:r>
              <w:rPr>
                <w:rFonts w:ascii="Verdana" w:hAnsi="Verdana"/>
                <w:b w:val="0"/>
                <w:sz w:val="16"/>
              </w:rPr>
              <w:t>Subzona de la Región de la OMM</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Note 42: La gama de valores del parámetro 0 04 015 está limitada de –99 a 99; la secuencia común D 06 019 de CREX es la secuencia original con solo 2 caracteres para el descriptor correspondiente.</w:t>
            </w:r>
          </w:p>
        </w:tc>
      </w:tr>
      <w:tr>
        <w:trPr>
          <w:cantSplit/>
        </w:trPr>
        <w:tc>
          <w:tcPr>
            <w:tcW w:type="dxa" w:w="1514"/>
          </w:tcPr>
          <w:p>
            <w:pPr>
              <w:spacing w:before="20" w:after="20"/>
            </w:pPr>
            <w:r/>
            <w:r>
              <w:rPr>
                <w:rFonts w:ascii="Verdana" w:hAnsi="Verdana"/>
                <w:b w:val="0"/>
                <w:sz w:val="16"/>
              </w:rPr>
              <w:t>0 01 005</w:t>
            </w:r>
          </w:p>
        </w:tc>
        <w:tc>
          <w:tcPr>
            <w:tcW w:type="dxa" w:w="1514"/>
          </w:tcPr>
          <w:p>
            <w:pPr>
              <w:spacing w:before="20" w:after="20"/>
            </w:pPr>
            <w:r/>
            <w:r>
              <w:rPr>
                <w:rFonts w:ascii="Verdana" w:hAnsi="Verdana"/>
                <w:b w:val="0"/>
                <w:sz w:val="16"/>
              </w:rPr>
              <w:t>Identificador de boya/plataforma</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0 01 006</w:t>
            </w:r>
          </w:p>
        </w:tc>
        <w:tc>
          <w:tcPr>
            <w:tcW w:type="dxa" w:w="1514"/>
          </w:tcPr>
          <w:p>
            <w:pPr>
              <w:spacing w:before="20" w:after="20"/>
            </w:pPr>
            <w:r/>
            <w:r>
              <w:rPr>
                <w:rFonts w:ascii="Verdana" w:hAnsi="Verdana"/>
                <w:b w:val="0"/>
                <w:sz w:val="16"/>
              </w:rPr>
              <w:t>Número de vuelo de aeronave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0 01 007</w:t>
            </w:r>
          </w:p>
        </w:tc>
        <w:tc>
          <w:tcPr>
            <w:tcW w:type="dxa" w:w="1514"/>
          </w:tcPr>
          <w:p>
            <w:pPr>
              <w:spacing w:before="20" w:after="20"/>
            </w:pPr>
            <w:r/>
            <w:r>
              <w:rPr>
                <w:rFonts w:ascii="Verdana" w:hAnsi="Verdana"/>
                <w:b w:val="0"/>
                <w:sz w:val="16"/>
              </w:rPr>
              <w:t>Identificador del satélite</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0 01 008</w:t>
            </w:r>
          </w:p>
        </w:tc>
        <w:tc>
          <w:tcPr>
            <w:tcW w:type="dxa" w:w="1514"/>
          </w:tcPr>
          <w:p>
            <w:pPr>
              <w:spacing w:before="20" w:after="20"/>
            </w:pPr>
            <w:r/>
            <w:r>
              <w:rPr>
                <w:rFonts w:ascii="Verdana" w:hAnsi="Verdana"/>
                <w:b w:val="0"/>
                <w:sz w:val="16"/>
              </w:rPr>
              <w:t>Número de matrícula de aeronave u otra identificación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0 01 009</w:t>
            </w:r>
          </w:p>
        </w:tc>
        <w:tc>
          <w:tcPr>
            <w:tcW w:type="dxa" w:w="1514"/>
          </w:tcPr>
          <w:p>
            <w:pPr>
              <w:spacing w:before="20" w:after="20"/>
            </w:pPr>
            <w:r/>
            <w:r>
              <w:rPr>
                <w:rFonts w:ascii="Verdana" w:hAnsi="Verdana"/>
                <w:b w:val="0"/>
                <w:sz w:val="16"/>
              </w:rPr>
              <w:t>Tipo de avión comercial</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0 01 010</w:t>
            </w:r>
          </w:p>
        </w:tc>
        <w:tc>
          <w:tcPr>
            <w:tcW w:type="dxa" w:w="1514"/>
          </w:tcPr>
          <w:p>
            <w:pPr>
              <w:spacing w:before="20" w:after="20"/>
            </w:pPr>
            <w:r/>
            <w:r>
              <w:rPr>
                <w:rFonts w:ascii="Verdana" w:hAnsi="Verdana"/>
                <w:b w:val="0"/>
                <w:sz w:val="16"/>
              </w:rPr>
              <w:t>Identificador de boya/plataforma estacionaria; por ejemplo, boyas C-MAN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0 01 011</w:t>
            </w:r>
          </w:p>
        </w:tc>
        <w:tc>
          <w:tcPr>
            <w:tcW w:type="dxa" w:w="1514"/>
          </w:tcPr>
          <w:p>
            <w:pPr>
              <w:spacing w:before="20" w:after="20"/>
            </w:pPr>
            <w:r/>
            <w:r>
              <w:rPr>
                <w:rFonts w:ascii="Verdana" w:hAnsi="Verdana"/>
                <w:b w:val="0"/>
                <w:sz w:val="16"/>
              </w:rPr>
              <w:t>Identificación del buque o de la estación terrestre móvil</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72</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0 01 012</w:t>
            </w:r>
          </w:p>
        </w:tc>
        <w:tc>
          <w:tcPr>
            <w:tcW w:type="dxa" w:w="1514"/>
          </w:tcPr>
          <w:p>
            <w:pPr>
              <w:spacing w:before="20" w:after="20"/>
            </w:pPr>
            <w:r/>
            <w:r>
              <w:rPr>
                <w:rFonts w:ascii="Verdana" w:hAnsi="Verdana"/>
                <w:b w:val="0"/>
                <w:sz w:val="16"/>
              </w:rPr>
              <w:t>Dirección del movimiento de la plataforma de observación</w:t>
            </w:r>
          </w:p>
        </w:tc>
        <w:tc>
          <w:tcPr>
            <w:tcW w:type="dxa" w:w="1514"/>
          </w:tcPr>
          <w:p>
            <w:pPr>
              <w:spacing w:before="20" w:after="20"/>
            </w:pPr>
            <w:r/>
            <w:r>
              <w:rPr>
                <w:rFonts w:ascii="Verdana" w:hAnsi="Verdana"/>
                <w:sz w:val="16"/>
              </w:rPr>
              <w:t>grado verdadero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grado verdadero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125: La posición fija de un buque se indicará mediante el descriptor 0 01 012 establecido en 0 y el descriptor 0 01 013 establecido en 0. La ruta de un buque desconocido (D s = 9) se indicará mediante 0 01 012 establecido en 509. I.2 – BUFR/CREX Tabla B/01 – 8 | Note 60: El período de tiempo indica la duración en minutos respecto de la que se han promediado las mediciones. El fin del período de tiempo está marcado por el fin del barrido (véase más arriba).</w:t>
            </w:r>
          </w:p>
        </w:tc>
      </w:tr>
      <w:tr>
        <w:trPr>
          <w:cantSplit/>
        </w:trPr>
        <w:tc>
          <w:tcPr>
            <w:tcW w:type="dxa" w:w="1514"/>
          </w:tcPr>
          <w:p>
            <w:pPr>
              <w:spacing w:before="20" w:after="20"/>
            </w:pPr>
            <w:r/>
            <w:r>
              <w:rPr>
                <w:rFonts w:ascii="Verdana" w:hAnsi="Verdana"/>
                <w:b w:val="0"/>
                <w:sz w:val="16"/>
              </w:rPr>
              <w:t>0 01 013</w:t>
            </w:r>
          </w:p>
        </w:tc>
        <w:tc>
          <w:tcPr>
            <w:tcW w:type="dxa" w:w="1514"/>
          </w:tcPr>
          <w:p>
            <w:pPr>
              <w:spacing w:before="20" w:after="20"/>
            </w:pPr>
            <w:r/>
            <w:r>
              <w:rPr>
                <w:rFonts w:ascii="Verdana" w:hAnsi="Verdana"/>
                <w:b w:val="0"/>
                <w:sz w:val="16"/>
              </w:rPr>
              <w:t>Velocidad del movimiento de la plataforma de observación</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60: El período de tiempo indica la duración en minutos respecto de la que se han promediado las mediciones. El fin del período de tiempo está marcado por el fin del barrido (véase más arriba). | Note 125: La posición fija de un buque se indicará mediante el descriptor 0 01 012 establecido en 0 y el descriptor 0 01 013 establecido en 0. La ruta de un buque desconocido (D s = 9) se indicará mediante 0 01 012 establecido en 509. I.2 – BUFR/CREX Tabla B/01 – 8</w:t>
            </w:r>
          </w:p>
        </w:tc>
      </w:tr>
      <w:tr>
        <w:trPr>
          <w:cantSplit/>
        </w:trPr>
        <w:tc>
          <w:tcPr>
            <w:tcW w:type="dxa" w:w="1514"/>
          </w:tcPr>
          <w:p>
            <w:pPr>
              <w:spacing w:before="20" w:after="20"/>
            </w:pPr>
            <w:r/>
            <w:r>
              <w:rPr>
                <w:rFonts w:ascii="Verdana" w:hAnsi="Verdana"/>
                <w:b w:val="0"/>
                <w:sz w:val="16"/>
              </w:rPr>
              <w:t>0 01 014</w:t>
            </w:r>
          </w:p>
        </w:tc>
        <w:tc>
          <w:tcPr>
            <w:tcW w:type="dxa" w:w="1514"/>
          </w:tcPr>
          <w:p>
            <w:pPr>
              <w:spacing w:before="20" w:after="20"/>
            </w:pPr>
            <w:r/>
            <w:r>
              <w:rPr>
                <w:rFonts w:ascii="Verdana" w:hAnsi="Verdana"/>
                <w:b w:val="0"/>
                <w:sz w:val="16"/>
              </w:rPr>
              <w:t>Velocidad de deriva de la plataforma (alta precisión)</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0 01 015</w:t>
            </w:r>
          </w:p>
        </w:tc>
        <w:tc>
          <w:tcPr>
            <w:tcW w:type="dxa" w:w="1514"/>
          </w:tcPr>
          <w:p>
            <w:pPr>
              <w:spacing w:before="20" w:after="20"/>
            </w:pPr>
            <w:r/>
            <w:r>
              <w:rPr>
                <w:rFonts w:ascii="Verdana" w:hAnsi="Verdana"/>
                <w:b w:val="0"/>
                <w:sz w:val="16"/>
              </w:rPr>
              <w:t>Nombre de la estación o emplazamiento</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160</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0 01 018</w:t>
            </w:r>
          </w:p>
        </w:tc>
        <w:tc>
          <w:tcPr>
            <w:tcW w:type="dxa" w:w="1514"/>
          </w:tcPr>
          <w:p>
            <w:pPr>
              <w:spacing w:before="20" w:after="20"/>
            </w:pPr>
            <w:r/>
            <w:r>
              <w:rPr>
                <w:rFonts w:ascii="Verdana" w:hAnsi="Verdana"/>
                <w:b w:val="0"/>
                <w:sz w:val="16"/>
              </w:rPr>
              <w:t>Nombre abreviado de la estación o emplazamiento</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0 01 019</w:t>
            </w:r>
          </w:p>
        </w:tc>
        <w:tc>
          <w:tcPr>
            <w:tcW w:type="dxa" w:w="1514"/>
          </w:tcPr>
          <w:p>
            <w:pPr>
              <w:spacing w:before="20" w:after="20"/>
            </w:pPr>
            <w:r/>
            <w:r>
              <w:rPr>
                <w:rFonts w:ascii="Verdana" w:hAnsi="Verdana"/>
                <w:b w:val="0"/>
                <w:sz w:val="16"/>
              </w:rPr>
              <w:t>Nombre completo de la estación o emplazamiento</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0 01 020</w:t>
            </w:r>
          </w:p>
        </w:tc>
        <w:tc>
          <w:tcPr>
            <w:tcW w:type="dxa" w:w="1514"/>
          </w:tcPr>
          <w:p>
            <w:pPr>
              <w:spacing w:before="20" w:after="20"/>
            </w:pPr>
            <w:r/>
            <w:r>
              <w:rPr>
                <w:rFonts w:ascii="Verdana" w:hAnsi="Verdana"/>
                <w:b w:val="0"/>
                <w:sz w:val="16"/>
              </w:rPr>
              <w:t>Subzona de la Región de la OMM</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0 01 021</w:t>
            </w:r>
          </w:p>
        </w:tc>
        <w:tc>
          <w:tcPr>
            <w:tcW w:type="dxa" w:w="1514"/>
          </w:tcPr>
          <w:p>
            <w:pPr>
              <w:spacing w:before="20" w:after="20"/>
            </w:pPr>
            <w:r/>
            <w:r>
              <w:rPr>
                <w:rFonts w:ascii="Verdana" w:hAnsi="Verdana"/>
                <w:b w:val="0"/>
                <w:sz w:val="16"/>
              </w:rPr>
              <w:t>Identificador de la característica sinóptica</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0 01 022</w:t>
            </w:r>
          </w:p>
        </w:tc>
        <w:tc>
          <w:tcPr>
            <w:tcW w:type="dxa" w:w="1514"/>
          </w:tcPr>
          <w:p>
            <w:pPr>
              <w:spacing w:before="20" w:after="20"/>
            </w:pPr>
            <w:r/>
            <w:r>
              <w:rPr>
                <w:rFonts w:ascii="Verdana" w:hAnsi="Verdana"/>
                <w:b w:val="0"/>
                <w:sz w:val="16"/>
              </w:rPr>
              <w:t>Nombre de la característica</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224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28</w:t>
            </w:r>
          </w:p>
        </w:tc>
        <w:tc>
          <w:tcPr>
            <w:tcW w:type="dxa" w:w="1514"/>
          </w:tcPr>
          <w:p>
            <w:pPr>
              <w:spacing w:before="20" w:after="20"/>
            </w:pPr>
            <w:r/>
            <w:r>
              <w:rPr>
                <w:rFonts w:ascii="Verdana" w:hAnsi="Verdana"/>
                <w:b w:val="0"/>
                <w:sz w:val="16"/>
              </w:rPr>
              <w:t>Note 72: La hora de lanzamiento se notificará con el mayor grado de exactitud posible. Si no se dispone de la hora de lanzamiento con una exactitud de segundos, la entrada para los segundos se fijará en cero.</w:t>
            </w:r>
          </w:p>
        </w:tc>
      </w:tr>
      <w:tr>
        <w:trPr>
          <w:cantSplit/>
        </w:trPr>
        <w:tc>
          <w:tcPr>
            <w:tcW w:type="dxa" w:w="1514"/>
          </w:tcPr>
          <w:p>
            <w:pPr>
              <w:spacing w:before="20" w:after="20"/>
            </w:pPr>
            <w:r/>
            <w:r>
              <w:rPr>
                <w:rFonts w:ascii="Verdana" w:hAnsi="Verdana"/>
                <w:b w:val="0"/>
                <w:sz w:val="16"/>
              </w:rPr>
              <w:t>0 01 023</w:t>
            </w:r>
          </w:p>
        </w:tc>
        <w:tc>
          <w:tcPr>
            <w:tcW w:type="dxa" w:w="1514"/>
          </w:tcPr>
          <w:p>
            <w:pPr>
              <w:spacing w:before="20" w:after="20"/>
            </w:pPr>
            <w:r/>
            <w:r>
              <w:rPr>
                <w:rFonts w:ascii="Verdana" w:hAnsi="Verdana"/>
                <w:b w:val="0"/>
                <w:sz w:val="16"/>
              </w:rPr>
              <w:t>Número de secuencia de observación</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0 01 024</w:t>
            </w:r>
          </w:p>
        </w:tc>
        <w:tc>
          <w:tcPr>
            <w:tcW w:type="dxa" w:w="1514"/>
          </w:tcPr>
          <w:p>
            <w:pPr>
              <w:spacing w:before="20" w:after="20"/>
            </w:pPr>
            <w:r/>
            <w:r>
              <w:rPr>
                <w:rFonts w:ascii="Verdana" w:hAnsi="Verdana"/>
                <w:b w:val="0"/>
                <w:sz w:val="16"/>
              </w:rPr>
              <w:t>Fuente de la velocidad del viento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0 01 025</w:t>
            </w:r>
          </w:p>
        </w:tc>
        <w:tc>
          <w:tcPr>
            <w:tcW w:type="dxa" w:w="1514"/>
          </w:tcPr>
          <w:p>
            <w:pPr>
              <w:spacing w:before="20" w:after="20"/>
            </w:pPr>
            <w:r/>
            <w:r>
              <w:rPr>
                <w:rFonts w:ascii="Verdana" w:hAnsi="Verdana"/>
                <w:b w:val="0"/>
                <w:sz w:val="16"/>
              </w:rPr>
              <w:t>Identificador de tormenta</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148: El identificador de tormenta (descriptor 0 01 025) tiene este significado: los dos primeros caracteres serán un número de secuencia numérica asignado por el originador del mensaje; el tercer carácter será una letra que indica la cuenca oceánica donde está situada la tormenta, de la forma siguiente: W Noroeste del océano Pacífico E Noreste del océano Pacífico, hasta el meridiano 140° W C Noreste del océano Pacífico, entre los meridianos 140° W y 180° W L Norte del océano Atlántico, incluidos el mar Caribe y el golfo de México A Norte del mar Arábigo B Golfo de Bengala S Sur del océano Índico P Sur del océano Pacífico F CMRE en el área de Nadi en el Pacífico Sur U Australia O Mar de China meridional T Mar de China oriental No es necesario que los diversos observadores coordinen los números de secuencia, a pesar de que ellos pueden comunicar la misma tormenta.</w:t>
            </w:r>
          </w:p>
        </w:tc>
      </w:tr>
      <w:tr>
        <w:trPr>
          <w:cantSplit/>
        </w:trPr>
        <w:tc>
          <w:tcPr>
            <w:tcW w:type="dxa" w:w="1514"/>
          </w:tcPr>
          <w:p>
            <w:pPr>
              <w:spacing w:before="20" w:after="20"/>
            </w:pPr>
            <w:r/>
            <w:r>
              <w:rPr>
                <w:rFonts w:ascii="Verdana" w:hAnsi="Verdana"/>
                <w:b w:val="0"/>
                <w:sz w:val="16"/>
              </w:rPr>
              <w:t>0 01 026</w:t>
            </w:r>
          </w:p>
        </w:tc>
        <w:tc>
          <w:tcPr>
            <w:tcW w:type="dxa" w:w="1514"/>
          </w:tcPr>
          <w:p>
            <w:pPr>
              <w:spacing w:before="20" w:after="20"/>
            </w:pPr>
            <w:r/>
            <w:r>
              <w:rPr>
                <w:rFonts w:ascii="Verdana" w:hAnsi="Verdana"/>
                <w:b w:val="0"/>
                <w:sz w:val="16"/>
              </w:rPr>
              <w:t>Nombre OMM de la tormenta+</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Note 43: La separación de datos satelitales de nivel único en serie de mensajes BUFR ayuda a la compresión y aumenta la eficacia de la transmisión y el almacenamiento de datos.</w:t>
            </w:r>
          </w:p>
        </w:tc>
      </w:tr>
      <w:tr>
        <w:trPr>
          <w:cantSplit/>
        </w:trPr>
        <w:tc>
          <w:tcPr>
            <w:tcW w:type="dxa" w:w="1514"/>
          </w:tcPr>
          <w:p>
            <w:pPr>
              <w:spacing w:before="20" w:after="20"/>
            </w:pPr>
            <w:r/>
            <w:r>
              <w:rPr>
                <w:rFonts w:ascii="Verdana" w:hAnsi="Verdana"/>
                <w:b w:val="0"/>
                <w:sz w:val="16"/>
              </w:rPr>
              <w:t>0 01 027</w:t>
            </w:r>
          </w:p>
        </w:tc>
        <w:tc>
          <w:tcPr>
            <w:tcW w:type="dxa" w:w="1514"/>
          </w:tcPr>
          <w:p>
            <w:pPr>
              <w:spacing w:before="20" w:after="20"/>
            </w:pPr>
            <w:r/>
            <w:r>
              <w:rPr>
                <w:rFonts w:ascii="Verdana" w:hAnsi="Verdana"/>
                <w:b w:val="0"/>
                <w:sz w:val="16"/>
              </w:rPr>
              <w:t>Nombre OMM completo de la tormenta</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80</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182: Nombre OMM de tormenta (descriptor 0 01 027): el nombre de la tormenta “NAMELESS” se utilizará en los casos en los que una perturbación tropical identificable no haya alcanzado la fuerza de tormenta tropical y no se le haya asignado un nombre oficial.</w:t>
            </w:r>
          </w:p>
        </w:tc>
      </w:tr>
      <w:tr>
        <w:trPr>
          <w:cantSplit/>
        </w:trPr>
        <w:tc>
          <w:tcPr>
            <w:tcW w:type="dxa" w:w="1514"/>
          </w:tcPr>
          <w:p>
            <w:pPr>
              <w:spacing w:before="20" w:after="20"/>
            </w:pPr>
            <w:r/>
            <w:r>
              <w:rPr>
                <w:rFonts w:ascii="Verdana" w:hAnsi="Verdana"/>
                <w:b w:val="0"/>
                <w:sz w:val="16"/>
              </w:rPr>
              <w:t>0 01 028</w:t>
            </w:r>
          </w:p>
        </w:tc>
        <w:tc>
          <w:tcPr>
            <w:tcW w:type="dxa" w:w="1514"/>
          </w:tcPr>
          <w:p>
            <w:pPr>
              <w:spacing w:before="20" w:after="20"/>
            </w:pPr>
            <w:r/>
            <w:r>
              <w:rPr>
                <w:rFonts w:ascii="Verdana" w:hAnsi="Verdana"/>
                <w:b w:val="0"/>
                <w:sz w:val="16"/>
              </w:rPr>
              <w:t>Fuente del espesor óptico de los aerosoles (EOA)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0 01 029</w:t>
            </w:r>
          </w:p>
        </w:tc>
        <w:tc>
          <w:tcPr>
            <w:tcW w:type="dxa" w:w="1514"/>
          </w:tcPr>
          <w:p>
            <w:pPr>
              <w:spacing w:before="20" w:after="20"/>
            </w:pPr>
            <w:r/>
            <w:r>
              <w:rPr>
                <w:rFonts w:ascii="Verdana" w:hAnsi="Verdana"/>
                <w:b w:val="0"/>
                <w:sz w:val="16"/>
              </w:rPr>
              <w:t>Fuente de la ISS*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0 01 030</w:t>
            </w:r>
          </w:p>
        </w:tc>
        <w:tc>
          <w:tcPr>
            <w:tcW w:type="dxa" w:w="1514"/>
          </w:tcPr>
          <w:p>
            <w:pPr>
              <w:spacing w:before="20" w:after="20"/>
            </w:pPr>
            <w:r/>
            <w:r>
              <w:rPr>
                <w:rFonts w:ascii="Verdana" w:hAnsi="Verdana"/>
                <w:b w:val="0"/>
                <w:sz w:val="16"/>
              </w:rPr>
              <w:t>Identificación del modelo numérico</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128</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t>Note 153: El valor de este elemento podría ser una serie de caracteres que contiene el nombre del modelo y otros elementos útiles tales como la malla del modelo.</w:t>
            </w:r>
          </w:p>
        </w:tc>
      </w:tr>
      <w:tr>
        <w:trPr>
          <w:cantSplit/>
        </w:trPr>
        <w:tc>
          <w:tcPr>
            <w:tcW w:type="dxa" w:w="1514"/>
          </w:tcPr>
          <w:p>
            <w:pPr>
              <w:spacing w:before="20" w:after="20"/>
            </w:pPr>
            <w:r/>
            <w:r>
              <w:rPr>
                <w:rFonts w:ascii="Verdana" w:hAnsi="Verdana"/>
                <w:b w:val="0"/>
                <w:sz w:val="16"/>
              </w:rPr>
              <w:t>0 01 031</w:t>
            </w:r>
          </w:p>
        </w:tc>
        <w:tc>
          <w:tcPr>
            <w:tcW w:type="dxa" w:w="1514"/>
          </w:tcPr>
          <w:p>
            <w:pPr>
              <w:spacing w:before="20" w:after="20"/>
            </w:pPr>
            <w:r/>
            <w:r>
              <w:rPr>
                <w:rFonts w:ascii="Verdana" w:hAnsi="Verdana"/>
                <w:b w:val="0"/>
                <w:sz w:val="16"/>
              </w:rPr>
              <w:t>Identificación del centro de origen/ generación</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44: La secuencia 3 09 030 queda relegada por utilización incorrecta del descriptor 0 04 015; en su lugar utilícese la secuencia 3 09 031.</w:t>
            </w:r>
          </w:p>
        </w:tc>
      </w:tr>
      <w:tr>
        <w:trPr>
          <w:cantSplit/>
        </w:trPr>
        <w:tc>
          <w:tcPr>
            <w:tcW w:type="dxa" w:w="1514"/>
          </w:tcPr>
          <w:p>
            <w:pPr>
              <w:spacing w:before="20" w:after="20"/>
            </w:pPr>
            <w:r/>
            <w:r>
              <w:rPr>
                <w:rFonts w:ascii="Verdana" w:hAnsi="Verdana"/>
                <w:b w:val="0"/>
                <w:sz w:val="16"/>
              </w:rPr>
              <w:t>0 01 032</w:t>
            </w:r>
          </w:p>
        </w:tc>
        <w:tc>
          <w:tcPr>
            <w:tcW w:type="dxa" w:w="1514"/>
          </w:tcPr>
          <w:p>
            <w:pPr>
              <w:spacing w:before="20" w:after="20"/>
            </w:pPr>
            <w:r/>
            <w:r>
              <w:rPr>
                <w:rFonts w:ascii="Verdana" w:hAnsi="Verdana"/>
                <w:b w:val="0"/>
                <w:sz w:val="16"/>
              </w:rPr>
              <w:t>Aplicación de producción definida por el centro de origen/generación</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175: Cuando un centro, que no sea el centro de origen, genere información de calidad, valores de reemplazo o sustitución, y/o información estadística, podrá indicarse el centro utilizando el descriptor 0 01 033. | Note 21: La dirección de desplazamiento del frente debe indicarse siempre, puesto que es necesaria para el trazado de los mapas. Una velocidad de desplazamiento del frente igual a cero indicaría un frente lento. En la tabla de cifrado existe un valor para representar un frente casi estacionario. | Note 38: n/a</w:t>
            </w:r>
          </w:p>
        </w:tc>
      </w:tr>
      <w:tr>
        <w:trPr>
          <w:cantSplit/>
        </w:trPr>
        <w:tc>
          <w:tcPr>
            <w:tcW w:type="dxa" w:w="1514"/>
          </w:tcPr>
          <w:p>
            <w:pPr>
              <w:spacing w:before="20" w:after="20"/>
            </w:pPr>
            <w:r/>
            <w:r>
              <w:rPr>
                <w:rFonts w:ascii="Verdana" w:hAnsi="Verdana"/>
                <w:b w:val="0"/>
                <w:sz w:val="16"/>
              </w:rPr>
              <w:t>0 01 033</w:t>
            </w:r>
          </w:p>
        </w:tc>
        <w:tc>
          <w:tcPr>
            <w:tcW w:type="dxa" w:w="1514"/>
          </w:tcPr>
          <w:p>
            <w:pPr>
              <w:spacing w:before="20" w:after="20"/>
            </w:pPr>
            <w:r/>
            <w:r>
              <w:rPr>
                <w:rFonts w:ascii="Verdana" w:hAnsi="Verdana"/>
                <w:b w:val="0"/>
                <w:sz w:val="16"/>
              </w:rPr>
              <w:t>Identificación del centro de origen/ generación</w:t>
            </w:r>
          </w:p>
        </w:tc>
        <w:tc>
          <w:tcPr>
            <w:tcW w:type="dxa" w:w="1514"/>
          </w:tcPr>
          <w:p>
            <w:pPr>
              <w:spacing w:before="20" w:after="20"/>
            </w:pPr>
            <w:r/>
            <w:r>
              <w:rPr>
                <w:rFonts w:ascii="Verdana" w:hAnsi="Verdana"/>
                <w:sz w:val="16"/>
              </w:rPr>
              <w:t>Tabla de cifrado común C-1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Tabla de cifrado común C-1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0 01 034</w:t>
            </w:r>
          </w:p>
        </w:tc>
        <w:tc>
          <w:tcPr>
            <w:tcW w:type="dxa" w:w="1514"/>
          </w:tcPr>
          <w:p>
            <w:pPr>
              <w:spacing w:before="20" w:after="20"/>
            </w:pPr>
            <w:r/>
            <w:r>
              <w:rPr>
                <w:rFonts w:ascii="Verdana" w:hAnsi="Verdana"/>
                <w:b w:val="0"/>
                <w:sz w:val="16"/>
              </w:rPr>
              <w:t>Identificación del centro secundario de origen/generación</w:t>
            </w:r>
          </w:p>
        </w:tc>
        <w:tc>
          <w:tcPr>
            <w:tcW w:type="dxa" w:w="1514"/>
          </w:tcPr>
          <w:p>
            <w:pPr>
              <w:spacing w:before="20" w:after="20"/>
            </w:pPr>
            <w:r/>
            <w:r>
              <w:rPr>
                <w:rFonts w:ascii="Verdana" w:hAnsi="Verdana"/>
                <w:sz w:val="16"/>
              </w:rPr>
              <w:t>Tabla de cifrado común C-12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Tabla de cifrado común C-12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0 01 035</w:t>
            </w:r>
          </w:p>
        </w:tc>
        <w:tc>
          <w:tcPr>
            <w:tcW w:type="dxa" w:w="1514"/>
          </w:tcPr>
          <w:p>
            <w:pPr>
              <w:spacing w:before="20" w:after="20"/>
            </w:pPr>
            <w:r/>
            <w:r>
              <w:rPr>
                <w:rFonts w:ascii="Verdana" w:hAnsi="Verdana"/>
                <w:b w:val="0"/>
                <w:sz w:val="16"/>
              </w:rPr>
              <w:t>Centro de origen/producción</w:t>
            </w:r>
          </w:p>
        </w:tc>
        <w:tc>
          <w:tcPr>
            <w:tcW w:type="dxa" w:w="1514"/>
          </w:tcPr>
          <w:p>
            <w:pPr>
              <w:spacing w:before="20" w:after="20"/>
            </w:pPr>
            <w:r/>
            <w:r>
              <w:rPr>
                <w:rFonts w:ascii="Verdana" w:hAnsi="Verdana"/>
                <w:sz w:val="16"/>
              </w:rPr>
              <w:t>Tabla de cifrado común C-11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Tabla de cifrado común C-11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0 01 036</w:t>
            </w:r>
          </w:p>
        </w:tc>
        <w:tc>
          <w:tcPr>
            <w:tcW w:type="dxa" w:w="1514"/>
          </w:tcPr>
          <w:p>
            <w:pPr>
              <w:spacing w:before="20" w:after="20"/>
            </w:pPr>
            <w:r/>
            <w:r>
              <w:rPr>
                <w:rFonts w:ascii="Verdana" w:hAnsi="Verdana"/>
                <w:b w:val="0"/>
                <w:sz w:val="16"/>
              </w:rPr>
              <w:t>Organismo encargado de operar la plataforma de observación</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0 01 037</w:t>
            </w:r>
          </w:p>
        </w:tc>
        <w:tc>
          <w:tcPr>
            <w:tcW w:type="dxa" w:w="1514"/>
          </w:tcPr>
          <w:p>
            <w:pPr>
              <w:spacing w:before="20" w:after="20"/>
            </w:pPr>
            <w:r/>
            <w:r>
              <w:rPr>
                <w:rFonts w:ascii="Verdana" w:hAnsi="Verdana"/>
                <w:b w:val="0"/>
                <w:sz w:val="16"/>
              </w:rPr>
              <w:t>Identificador de la secuencia SIGMET</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0 01 038</w:t>
            </w:r>
          </w:p>
        </w:tc>
        <w:tc>
          <w:tcPr>
            <w:tcW w:type="dxa" w:w="1514"/>
          </w:tcPr>
          <w:p>
            <w:pPr>
              <w:spacing w:before="20" w:after="20"/>
            </w:pPr>
            <w:r/>
            <w:r>
              <w:rPr>
                <w:rFonts w:ascii="Verdana" w:hAnsi="Verdana"/>
                <w:b w:val="0"/>
                <w:sz w:val="16"/>
              </w:rPr>
              <w:t>Fuente de la fracción de hielo marino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0 01 039</w:t>
            </w:r>
          </w:p>
        </w:tc>
        <w:tc>
          <w:tcPr>
            <w:tcW w:type="dxa" w:w="1514"/>
          </w:tcPr>
          <w:p>
            <w:pPr>
              <w:spacing w:before="20" w:after="20"/>
            </w:pPr>
            <w:r/>
            <w:r>
              <w:rPr>
                <w:rFonts w:ascii="Verdana" w:hAnsi="Verdana"/>
                <w:b w:val="0"/>
                <w:sz w:val="16"/>
              </w:rPr>
              <w:t>Identificador de secuencia de predicción gráfica de área (GFA)</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0 01 040</w:t>
            </w:r>
          </w:p>
        </w:tc>
        <w:tc>
          <w:tcPr>
            <w:tcW w:type="dxa" w:w="1514"/>
          </w:tcPr>
          <w:p>
            <w:pPr>
              <w:spacing w:before="20" w:after="20"/>
            </w:pPr>
            <w:r/>
            <w:r>
              <w:rPr>
                <w:rFonts w:ascii="Verdana" w:hAnsi="Verdana"/>
                <w:b w:val="0"/>
                <w:sz w:val="16"/>
              </w:rPr>
              <w:t>Código de identificación del centro de procesamiento</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48</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0 01 041</w:t>
            </w:r>
          </w:p>
        </w:tc>
        <w:tc>
          <w:tcPr>
            <w:tcW w:type="dxa" w:w="1514"/>
          </w:tcPr>
          <w:p>
            <w:pPr>
              <w:spacing w:before="20" w:after="20"/>
            </w:pPr>
            <w:r/>
            <w:r>
              <w:rPr>
                <w:rFonts w:ascii="Verdana" w:hAnsi="Verdana"/>
                <w:b w:val="0"/>
                <w:sz w:val="16"/>
              </w:rPr>
              <w:t>Velocidad absoluta de la plataforma – primer componente</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-1073741824</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134: Los componentes de la velocidad absoluta de la plataforma (0 01 041, 0 01 042, 0 01 043) se definen de la manera siguiente: – Primer componente: desde el centro de la Tierra hasta 0 grados de longitud en el ecuador: velocidad de la plataforma a lo largo de esta línea con relación al centro de la Tierra. – Segundo componente: desde el centro de la Tierra hasta 90 grados de longitud Este en el ecuador: velocidad de la plataforma a lo largo de esta línea con relación al centro de la Tierra. – Tercer componente: desde el centro de la Tierra hasta el Polo Norte: velocidad de la plataforma a lo largo de esta línea con relación al centro de la Tierra. | Note 154: Los valores para los descriptores 0 01 041, 0 01 042 y 0 01 043 han sido seleccionados para que convengan a satélites en órbita polar en órbitas aproximadamente heliosincrónicas. Las órbitas geoestacionarias requerirían una anchura de datos mayor para la distancia y ligeramente menor para la velocidad. | Note 95: Para los descriptores 0 01 041, 0 01 042 y 0 01 043 se han escogido ejes x, y, y z negativos.</w:t>
            </w:r>
          </w:p>
        </w:tc>
      </w:tr>
      <w:tr>
        <w:trPr>
          <w:cantSplit/>
        </w:trPr>
        <w:tc>
          <w:tcPr>
            <w:tcW w:type="dxa" w:w="1514"/>
          </w:tcPr>
          <w:p>
            <w:pPr>
              <w:spacing w:before="20" w:after="20"/>
            </w:pPr>
            <w:r/>
            <w:r>
              <w:rPr>
                <w:rFonts w:ascii="Verdana" w:hAnsi="Verdana"/>
                <w:b w:val="0"/>
                <w:sz w:val="16"/>
              </w:rPr>
              <w:t>0 01 042</w:t>
            </w:r>
          </w:p>
        </w:tc>
        <w:tc>
          <w:tcPr>
            <w:tcW w:type="dxa" w:w="1514"/>
          </w:tcPr>
          <w:p>
            <w:pPr>
              <w:spacing w:before="20" w:after="20"/>
            </w:pPr>
            <w:r/>
            <w:r>
              <w:rPr>
                <w:rFonts w:ascii="Verdana" w:hAnsi="Verdana"/>
                <w:b w:val="0"/>
                <w:sz w:val="16"/>
              </w:rPr>
              <w:t>Velocidad absoluta de la plataforma– segundo componente</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-1073741824</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134: Los componentes de la velocidad absoluta de la plataforma (0 01 041, 0 01 042, 0 01 043) se definen de la manera siguiente: – Primer componente: desde el centro de la Tierra hasta 0 grados de longitud en el ecuador: velocidad de la plataforma a lo largo de esta línea con relación al centro de la Tierra. – Segundo componente: desde el centro de la Tierra hasta 90 grados de longitud Este en el ecuador: velocidad de la plataforma a lo largo de esta línea con relación al centro de la Tierra. – Tercer componente: desde el centro de la Tierra hasta el Polo Norte: velocidad de la plataforma a lo largo de esta línea con relación al centro de la Tierra. | Note 154: Los valores para los descriptores 0 01 041, 0 01 042 y 0 01 043 han sido seleccionados para que convengan a satélites en órbita polar en órbitas aproximadamente heliosincrónicas. Las órbitas geoestacionarias requerirían una anchura de datos mayor para la distancia y ligeramente menor para la velocidad. | Note 95: Para los descriptores 0 01 041, 0 01 042 y 0 01 043 se han escogido ejes x, y, y z negativos.</w:t>
            </w:r>
          </w:p>
        </w:tc>
      </w:tr>
      <w:tr>
        <w:trPr>
          <w:cantSplit/>
        </w:trPr>
        <w:tc>
          <w:tcPr>
            <w:tcW w:type="dxa" w:w="1514"/>
          </w:tcPr>
          <w:p>
            <w:pPr>
              <w:spacing w:before="20" w:after="20"/>
            </w:pPr>
            <w:r/>
            <w:r>
              <w:rPr>
                <w:rFonts w:ascii="Verdana" w:hAnsi="Verdana"/>
                <w:b w:val="0"/>
                <w:sz w:val="16"/>
              </w:rPr>
              <w:t>0 01 043</w:t>
            </w:r>
          </w:p>
        </w:tc>
        <w:tc>
          <w:tcPr>
            <w:tcW w:type="dxa" w:w="1514"/>
          </w:tcPr>
          <w:p>
            <w:pPr>
              <w:spacing w:before="20" w:after="20"/>
            </w:pPr>
            <w:r/>
            <w:r>
              <w:rPr>
                <w:rFonts w:ascii="Verdana" w:hAnsi="Verdana"/>
                <w:b w:val="0"/>
                <w:sz w:val="16"/>
              </w:rPr>
              <w:t>Velocidad absoluta de la plataforma – tercer componente</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-1073741824</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134: Los componentes de la velocidad absoluta de la plataforma (0 01 041, 0 01 042, 0 01 043) se definen de la manera siguiente: – Primer componente: desde el centro de la Tierra hasta 0 grados de longitud en el ecuador: velocidad de la plataforma a lo largo de esta línea con relación al centro de la Tierra. – Segundo componente: desde el centro de la Tierra hasta 90 grados de longitud Este en el ecuador: velocidad de la plataforma a lo largo de esta línea con relación al centro de la Tierra. – Tercer componente: desde el centro de la Tierra hasta el Polo Norte: velocidad de la plataforma a lo largo de esta línea con relación al centro de la Tierra. | Note 154: Los valores para los descriptores 0 01 041, 0 01 042 y 0 01 043 han sido seleccionados para que convengan a satélites en órbita polar en órbitas aproximadamente heliosincrónicas. Las órbitas geoestacionarias requerirían una anchura de datos mayor para la distancia y ligeramente menor para la velocidad. | Note 95: Para los descriptores 0 01 041, 0 01 042 y 0 01 043 se han escogido ejes x, y, y z negativos.</w:t>
            </w:r>
          </w:p>
        </w:tc>
      </w:tr>
      <w:tr>
        <w:trPr>
          <w:cantSplit/>
        </w:trPr>
        <w:tc>
          <w:tcPr>
            <w:tcW w:type="dxa" w:w="1514"/>
          </w:tcPr>
          <w:p>
            <w:pPr>
              <w:spacing w:before="20" w:after="20"/>
            </w:pPr>
            <w:r/>
            <w:r>
              <w:rPr>
                <w:rFonts w:ascii="Verdana" w:hAnsi="Verdana"/>
                <w:b w:val="0"/>
                <w:sz w:val="16"/>
              </w:rPr>
              <w:t>0 01 044</w:t>
            </w:r>
          </w:p>
        </w:tc>
        <w:tc>
          <w:tcPr>
            <w:tcW w:type="dxa" w:w="1514"/>
          </w:tcPr>
          <w:p>
            <w:pPr>
              <w:spacing w:before="20" w:after="20"/>
            </w:pPr>
            <w:r/>
            <w:r>
              <w:rPr>
                <w:rFonts w:ascii="Verdana" w:hAnsi="Verdana"/>
                <w:b w:val="0"/>
                <w:sz w:val="16"/>
              </w:rPr>
              <w:t>Aplicación de producción estándar</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0 01 050</w:t>
            </w:r>
          </w:p>
        </w:tc>
        <w:tc>
          <w:tcPr>
            <w:tcW w:type="dxa" w:w="1514"/>
          </w:tcPr>
          <w:p>
            <w:pPr>
              <w:spacing w:before="20" w:after="20"/>
            </w:pPr>
            <w:r/>
            <w:r>
              <w:rPr>
                <w:rFonts w:ascii="Verdana" w:hAnsi="Verdana"/>
                <w:b w:val="0"/>
                <w:sz w:val="16"/>
              </w:rPr>
              <w:t>Número de identificación del transmisor de la plataforma</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0 01 051</w:t>
            </w:r>
          </w:p>
        </w:tc>
        <w:tc>
          <w:tcPr>
            <w:tcW w:type="dxa" w:w="1514"/>
          </w:tcPr>
          <w:p>
            <w:pPr>
              <w:spacing w:before="20" w:after="20"/>
            </w:pPr>
            <w:r/>
            <w:r>
              <w:rPr>
                <w:rFonts w:ascii="Verdana" w:hAnsi="Verdana"/>
                <w:b w:val="0"/>
                <w:sz w:val="16"/>
              </w:rPr>
              <w:t>Número de identificación del transmisor de la plataforma</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96</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0 01 052</w:t>
            </w:r>
          </w:p>
        </w:tc>
        <w:tc>
          <w:tcPr>
            <w:tcW w:type="dxa" w:w="1514"/>
          </w:tcPr>
          <w:p>
            <w:pPr>
              <w:spacing w:before="20" w:after="20"/>
            </w:pPr>
            <w:r/>
            <w:r>
              <w:rPr>
                <w:rFonts w:ascii="Verdana" w:hAnsi="Verdana"/>
                <w:b w:val="0"/>
                <w:sz w:val="16"/>
              </w:rPr>
              <w:t>Identificación del transmisor de la plataforma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0 01 053</w:t>
            </w:r>
          </w:p>
        </w:tc>
        <w:tc>
          <w:tcPr>
            <w:tcW w:type="dxa" w:w="1514"/>
          </w:tcPr>
          <w:p>
            <w:pPr>
              <w:spacing w:before="20" w:after="20"/>
            </w:pPr>
            <w:r/>
            <w:r>
              <w:rPr>
                <w:rFonts w:ascii="Verdana" w:hAnsi="Verdana"/>
                <w:b w:val="0"/>
                <w:sz w:val="16"/>
              </w:rPr>
              <w:t>Número de secuencia del informe de tsunámetro desencadenado por un suceso de tsunami</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0 01 060</w:t>
            </w:r>
          </w:p>
        </w:tc>
        <w:tc>
          <w:tcPr>
            <w:tcW w:type="dxa" w:w="1514"/>
          </w:tcPr>
          <w:p>
            <w:pPr>
              <w:spacing w:before="20" w:after="20"/>
            </w:pPr>
            <w:r/>
            <w:r>
              <w:rPr>
                <w:rFonts w:ascii="Verdana" w:hAnsi="Verdana"/>
                <w:b w:val="0"/>
                <w:sz w:val="16"/>
              </w:rPr>
              <w:t>Punto de notificación de la aeronave (identificador Beacon)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0 01 062</w:t>
            </w:r>
          </w:p>
        </w:tc>
        <w:tc>
          <w:tcPr>
            <w:tcW w:type="dxa" w:w="1514"/>
          </w:tcPr>
          <w:p>
            <w:pPr>
              <w:spacing w:before="20" w:after="20"/>
            </w:pPr>
            <w:r/>
            <w:r>
              <w:rPr>
                <w:rFonts w:ascii="Verdana" w:hAnsi="Verdana"/>
                <w:b w:val="0"/>
                <w:sz w:val="16"/>
              </w:rPr>
              <w:t>Indicador de ubicación abreviado de la OACI</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0 01 063</w:t>
            </w:r>
          </w:p>
        </w:tc>
        <w:tc>
          <w:tcPr>
            <w:tcW w:type="dxa" w:w="1514"/>
          </w:tcPr>
          <w:p>
            <w:pPr>
              <w:spacing w:before="20" w:after="20"/>
            </w:pPr>
            <w:r/>
            <w:r>
              <w:rPr>
                <w:rFonts w:ascii="Verdana" w:hAnsi="Verdana"/>
                <w:b w:val="0"/>
                <w:sz w:val="16"/>
              </w:rPr>
              <w:t>Indicador de ubicación de la OACI</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0 01 064</w:t>
            </w:r>
          </w:p>
        </w:tc>
        <w:tc>
          <w:tcPr>
            <w:tcW w:type="dxa" w:w="1514"/>
          </w:tcPr>
          <w:p>
            <w:pPr>
              <w:spacing w:before="20" w:after="20"/>
            </w:pPr>
            <w:r/>
            <w:r>
              <w:rPr>
                <w:rFonts w:ascii="Verdana" w:hAnsi="Verdana"/>
                <w:b w:val="0"/>
                <w:sz w:val="16"/>
              </w:rPr>
              <w:t>Denominador de la pista</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0 01 065</w:t>
            </w:r>
          </w:p>
        </w:tc>
        <w:tc>
          <w:tcPr>
            <w:tcW w:type="dxa" w:w="1514"/>
          </w:tcPr>
          <w:p>
            <w:pPr>
              <w:spacing w:before="20" w:after="20"/>
            </w:pPr>
            <w:r/>
            <w:r>
              <w:rPr>
                <w:rFonts w:ascii="Verdana" w:hAnsi="Verdana"/>
                <w:b w:val="0"/>
                <w:sz w:val="16"/>
              </w:rPr>
              <w:t>Identificador de región OACI</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0 01 075</w:t>
            </w:r>
          </w:p>
        </w:tc>
        <w:tc>
          <w:tcPr>
            <w:tcW w:type="dxa" w:w="1514"/>
          </w:tcPr>
          <w:p>
            <w:pPr>
              <w:spacing w:before="20" w:after="20"/>
            </w:pPr>
            <w:r/>
            <w:r>
              <w:rPr>
                <w:rFonts w:ascii="Verdana" w:hAnsi="Verdana"/>
                <w:b w:val="0"/>
                <w:sz w:val="16"/>
              </w:rPr>
              <w:t>Identificación de la estación de observación de mareas</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0 01 079</w:t>
            </w:r>
          </w:p>
        </w:tc>
        <w:tc>
          <w:tcPr>
            <w:tcW w:type="dxa" w:w="1514"/>
          </w:tcPr>
          <w:p>
            <w:pPr>
              <w:spacing w:before="20" w:after="20"/>
            </w:pPr>
            <w:r/>
            <w:r>
              <w:rPr>
                <w:rFonts w:ascii="Verdana" w:hAnsi="Verdana"/>
                <w:b w:val="0"/>
                <w:sz w:val="16"/>
              </w:rPr>
              <w:t>Identificador único del perfil</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0 01 080</w:t>
            </w:r>
          </w:p>
        </w:tc>
        <w:tc>
          <w:tcPr>
            <w:tcW w:type="dxa" w:w="1514"/>
          </w:tcPr>
          <w:p>
            <w:pPr>
              <w:spacing w:before="20" w:after="20"/>
            </w:pPr>
            <w:r/>
            <w:r>
              <w:rPr>
                <w:rFonts w:ascii="Verdana" w:hAnsi="Verdana"/>
                <w:b w:val="0"/>
                <w:sz w:val="16"/>
              </w:rPr>
              <w:t>Número del buque de línea según el SOOP</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0 01 081</w:t>
            </w:r>
          </w:p>
        </w:tc>
        <w:tc>
          <w:tcPr>
            <w:tcW w:type="dxa" w:w="1514"/>
          </w:tcPr>
          <w:p>
            <w:pPr>
              <w:spacing w:before="20" w:after="20"/>
            </w:pPr>
            <w:r/>
            <w:r>
              <w:rPr>
                <w:rFonts w:ascii="Verdana" w:hAnsi="Verdana"/>
                <w:b w:val="0"/>
                <w:sz w:val="16"/>
              </w:rPr>
              <w:t>Número de serie de la radiosonda</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160</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0 01 082</w:t>
            </w:r>
          </w:p>
        </w:tc>
        <w:tc>
          <w:tcPr>
            <w:tcW w:type="dxa" w:w="1514"/>
          </w:tcPr>
          <w:p>
            <w:pPr>
              <w:spacing w:before="20" w:after="20"/>
            </w:pPr>
            <w:r/>
            <w:r>
              <w:rPr>
                <w:rFonts w:ascii="Verdana" w:hAnsi="Verdana"/>
                <w:b w:val="0"/>
                <w:sz w:val="16"/>
              </w:rPr>
              <w:t>Número de ascenso de la radiosonda</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45: Algunos tipos de estación no tienen capacidad para determinar la condición de la superficie con precisión. Únicamente pueden informar sobre condiciones como “no está seca” o “está helada”. La tabla de cifrado para las condiciones de la superficie de la carretera se ha ajustado en consecuencia.</w:t>
            </w:r>
          </w:p>
        </w:tc>
      </w:tr>
      <w:tr>
        <w:trPr>
          <w:cantSplit/>
        </w:trPr>
        <w:tc>
          <w:tcPr>
            <w:tcW w:type="dxa" w:w="1514"/>
          </w:tcPr>
          <w:p>
            <w:pPr>
              <w:spacing w:before="20" w:after="20"/>
            </w:pPr>
            <w:r/>
            <w:r>
              <w:rPr>
                <w:rFonts w:ascii="Verdana" w:hAnsi="Verdana"/>
                <w:b w:val="0"/>
                <w:sz w:val="16"/>
              </w:rPr>
              <w:t>0 01 083</w:t>
            </w:r>
          </w:p>
        </w:tc>
        <w:tc>
          <w:tcPr>
            <w:tcW w:type="dxa" w:w="1514"/>
          </w:tcPr>
          <w:p>
            <w:pPr>
              <w:spacing w:before="20" w:after="20"/>
            </w:pPr>
            <w:r/>
            <w:r>
              <w:rPr>
                <w:rFonts w:ascii="Verdana" w:hAnsi="Verdana"/>
                <w:b w:val="0"/>
                <w:sz w:val="16"/>
              </w:rPr>
              <w:t>Número de liberación de la radiosonda</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Note 45: Algunos tipos de estación no tienen capacidad para determinar la condición de la superficie con precisión. Únicamente pueden informar sobre condiciones como “no está seca” o “está helada”. La tabla de cifrado para las condiciones de la superficie de la carretera se ha ajustado en consecuencia.</w:t>
            </w:r>
          </w:p>
        </w:tc>
      </w:tr>
      <w:tr>
        <w:trPr>
          <w:cantSplit/>
        </w:trPr>
        <w:tc>
          <w:tcPr>
            <w:tcW w:type="dxa" w:w="1514"/>
          </w:tcPr>
          <w:p>
            <w:pPr>
              <w:spacing w:before="20" w:after="20"/>
            </w:pPr>
            <w:r/>
            <w:r>
              <w:rPr>
                <w:rFonts w:ascii="Verdana" w:hAnsi="Verdana"/>
                <w:b w:val="0"/>
                <w:sz w:val="16"/>
              </w:rPr>
              <w:t>0 01 085</w:t>
            </w:r>
          </w:p>
        </w:tc>
        <w:tc>
          <w:tcPr>
            <w:tcW w:type="dxa" w:w="1514"/>
          </w:tcPr>
          <w:p>
            <w:pPr>
              <w:spacing w:before="20" w:after="20"/>
            </w:pPr>
            <w:r/>
            <w:r>
              <w:rPr>
                <w:rFonts w:ascii="Verdana" w:hAnsi="Verdana"/>
                <w:b w:val="0"/>
                <w:sz w:val="16"/>
              </w:rPr>
              <w:t>Modelo del fabricante de la plataforma de observación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160</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0 01 086</w:t>
            </w:r>
          </w:p>
        </w:tc>
        <w:tc>
          <w:tcPr>
            <w:tcW w:type="dxa" w:w="1514"/>
          </w:tcPr>
          <w:p>
            <w:pPr>
              <w:spacing w:before="20" w:after="20"/>
            </w:pPr>
            <w:r/>
            <w:r>
              <w:rPr>
                <w:rFonts w:ascii="Verdana" w:hAnsi="Verdana"/>
                <w:b w:val="0"/>
                <w:sz w:val="16"/>
              </w:rPr>
              <w:t>Número de serie del fabricante de la plataforma de observación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0 01 087</w:t>
            </w:r>
          </w:p>
        </w:tc>
        <w:tc>
          <w:tcPr>
            <w:tcW w:type="dxa" w:w="1514"/>
          </w:tcPr>
          <w:p>
            <w:pPr>
              <w:spacing w:before="20" w:after="20"/>
            </w:pPr>
            <w:r/>
            <w:r>
              <w:rPr>
                <w:rFonts w:ascii="Verdana" w:hAnsi="Verdana"/>
                <w:b w:val="0"/>
                <w:sz w:val="16"/>
              </w:rPr>
              <w:t>Indicador ampliado de la plataforma OMM de observación marina</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0 01 090</w:t>
            </w:r>
          </w:p>
        </w:tc>
        <w:tc>
          <w:tcPr>
            <w:tcW w:type="dxa" w:w="1514"/>
          </w:tcPr>
          <w:p>
            <w:pPr>
              <w:spacing w:before="20" w:after="20"/>
            </w:pPr>
            <w:r/>
            <w:r>
              <w:rPr>
                <w:rFonts w:ascii="Verdana" w:hAnsi="Verdana"/>
                <w:b w:val="0"/>
                <w:sz w:val="16"/>
              </w:rPr>
              <w:t>Técnica para la composición de perturbaciones iniciales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0 01 091</w:t>
            </w:r>
          </w:p>
        </w:tc>
        <w:tc>
          <w:tcPr>
            <w:tcW w:type="dxa" w:w="1514"/>
          </w:tcPr>
          <w:p>
            <w:pPr>
              <w:spacing w:before="20" w:after="20"/>
            </w:pPr>
            <w:r/>
            <w:r>
              <w:rPr>
                <w:rFonts w:ascii="Verdana" w:hAnsi="Verdana"/>
                <w:b w:val="0"/>
                <w:sz w:val="16"/>
              </w:rPr>
              <w:t>Número de miembros del conjunto</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0 01 092</w:t>
            </w:r>
          </w:p>
        </w:tc>
        <w:tc>
          <w:tcPr>
            <w:tcW w:type="dxa" w:w="1514"/>
          </w:tcPr>
          <w:p>
            <w:pPr>
              <w:spacing w:before="20" w:after="20"/>
            </w:pPr>
            <w:r/>
            <w:r>
              <w:rPr>
                <w:rFonts w:ascii="Verdana" w:hAnsi="Verdana"/>
                <w:b w:val="0"/>
                <w:sz w:val="16"/>
              </w:rPr>
              <w:t>Tipo de predicción por conjuntos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0 01 093</w:t>
            </w:r>
          </w:p>
        </w:tc>
        <w:tc>
          <w:tcPr>
            <w:tcW w:type="dxa" w:w="1514"/>
          </w:tcPr>
          <w:p>
            <w:pPr>
              <w:spacing w:before="20" w:after="20"/>
            </w:pPr>
            <w:r/>
            <w:r>
              <w:rPr>
                <w:rFonts w:ascii="Verdana" w:hAnsi="Verdana"/>
                <w:b w:val="0"/>
                <w:sz w:val="16"/>
              </w:rPr>
              <w:t>Número de lote del globo</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96</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0 01 094</w:t>
            </w:r>
          </w:p>
        </w:tc>
        <w:tc>
          <w:tcPr>
            <w:tcW w:type="dxa" w:w="1514"/>
          </w:tcPr>
          <w:p>
            <w:pPr>
              <w:spacing w:before="20" w:after="20"/>
            </w:pPr>
            <w:r/>
            <w:r>
              <w:rPr>
                <w:rFonts w:ascii="Verdana" w:hAnsi="Verdana"/>
                <w:b w:val="0"/>
                <w:sz w:val="16"/>
              </w:rPr>
              <w:t>Número de WBAN</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0 01 095</w:t>
            </w:r>
          </w:p>
        </w:tc>
        <w:tc>
          <w:tcPr>
            <w:tcW w:type="dxa" w:w="1514"/>
          </w:tcPr>
          <w:p>
            <w:pPr>
              <w:spacing w:before="20" w:after="20"/>
            </w:pPr>
            <w:r/>
            <w:r>
              <w:rPr>
                <w:rFonts w:ascii="Verdana" w:hAnsi="Verdana"/>
                <w:b w:val="0"/>
                <w:sz w:val="16"/>
              </w:rPr>
              <w:t>Identificación del observador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0 01 096</w:t>
            </w:r>
          </w:p>
        </w:tc>
        <w:tc>
          <w:tcPr>
            <w:tcW w:type="dxa" w:w="1514"/>
          </w:tcPr>
          <w:p>
            <w:pPr>
              <w:spacing w:before="20" w:after="20"/>
            </w:pPr>
            <w:r/>
            <w:r>
              <w:rPr>
                <w:rFonts w:ascii="Verdana" w:hAnsi="Verdana"/>
                <w:b w:val="0"/>
                <w:sz w:val="16"/>
              </w:rPr>
              <w:t>Adquisición de estación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160</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0 01 099</w:t>
            </w:r>
          </w:p>
        </w:tc>
        <w:tc>
          <w:tcPr>
            <w:tcW w:type="dxa" w:w="1514"/>
          </w:tcPr>
          <w:p>
            <w:pPr>
              <w:spacing w:before="20" w:after="20"/>
            </w:pPr>
            <w:r/>
            <w:r>
              <w:rPr>
                <w:rFonts w:ascii="Verdana" w:hAnsi="Verdana"/>
                <w:b w:val="0"/>
                <w:sz w:val="16"/>
              </w:rPr>
              <w:t>Definición única del producto</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248</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0 01 101</w:t>
            </w:r>
          </w:p>
        </w:tc>
        <w:tc>
          <w:tcPr>
            <w:tcW w:type="dxa" w:w="1514"/>
          </w:tcPr>
          <w:p>
            <w:pPr>
              <w:spacing w:before="20" w:after="20"/>
            </w:pPr>
            <w:r/>
            <w:r>
              <w:rPr>
                <w:rFonts w:ascii="Verdana" w:hAnsi="Verdana"/>
                <w:b w:val="0"/>
                <w:sz w:val="16"/>
              </w:rPr>
              <w:t>Identificador de Estado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0 01 102</w:t>
            </w:r>
          </w:p>
        </w:tc>
        <w:tc>
          <w:tcPr>
            <w:tcW w:type="dxa" w:w="1514"/>
          </w:tcPr>
          <w:p>
            <w:pPr>
              <w:spacing w:before="20" w:after="20"/>
            </w:pPr>
            <w:r/>
            <w:r>
              <w:rPr>
                <w:rFonts w:ascii="Verdana" w:hAnsi="Verdana"/>
                <w:b w:val="0"/>
                <w:sz w:val="16"/>
              </w:rPr>
              <w:t>Número nacional de estación</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0 01 103</w:t>
            </w:r>
          </w:p>
        </w:tc>
        <w:tc>
          <w:tcPr>
            <w:tcW w:type="dxa" w:w="1514"/>
          </w:tcPr>
          <w:p>
            <w:pPr>
              <w:spacing w:before="20" w:after="20"/>
            </w:pPr>
            <w:r/>
            <w:r>
              <w:rPr>
                <w:rFonts w:ascii="Verdana" w:hAnsi="Verdana"/>
                <w:b w:val="0"/>
                <w:sz w:val="16"/>
              </w:rPr>
              <w:t>Número OMI. Registro Lloyd único</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0 01 104</w:t>
            </w:r>
          </w:p>
        </w:tc>
        <w:tc>
          <w:tcPr>
            <w:tcW w:type="dxa" w:w="1514"/>
          </w:tcPr>
          <w:p>
            <w:pPr>
              <w:spacing w:before="20" w:after="20"/>
            </w:pPr>
            <w:r/>
            <w:r>
              <w:rPr>
                <w:rFonts w:ascii="Verdana" w:hAnsi="Verdana"/>
                <w:b w:val="0"/>
                <w:sz w:val="16"/>
              </w:rPr>
              <w:t>Identificador de Estado/Estado federal</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0 01 105</w:t>
            </w:r>
          </w:p>
        </w:tc>
        <w:tc>
          <w:tcPr>
            <w:tcW w:type="dxa" w:w="1514"/>
          </w:tcPr>
          <w:p>
            <w:pPr>
              <w:spacing w:before="20" w:after="20"/>
            </w:pPr>
            <w:r/>
            <w:r>
              <w:rPr>
                <w:rFonts w:ascii="Verdana" w:hAnsi="Verdana"/>
                <w:b w:val="0"/>
                <w:sz w:val="16"/>
              </w:rPr>
              <w:t>Denominador de la ruta principal</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0 01 106</w:t>
            </w:r>
          </w:p>
        </w:tc>
        <w:tc>
          <w:tcPr>
            <w:tcW w:type="dxa" w:w="1514"/>
          </w:tcPr>
          <w:p>
            <w:pPr>
              <w:spacing w:before="20" w:after="20"/>
            </w:pPr>
            <w:r/>
            <w:r>
              <w:rPr>
                <w:rFonts w:ascii="Verdana" w:hAnsi="Verdana"/>
                <w:b w:val="0"/>
                <w:sz w:val="16"/>
              </w:rPr>
              <w:t>Lugar a lo largo de la ruta principal indicado por marcadores de posición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0 01 110</w:t>
            </w:r>
          </w:p>
        </w:tc>
        <w:tc>
          <w:tcPr>
            <w:tcW w:type="dxa" w:w="1514"/>
          </w:tcPr>
          <w:p>
            <w:pPr>
              <w:spacing w:before="20" w:after="20"/>
            </w:pPr>
            <w:r/>
            <w:r>
              <w:rPr>
                <w:rFonts w:ascii="Verdana" w:hAnsi="Verdana"/>
                <w:b w:val="0"/>
                <w:sz w:val="16"/>
              </w:rPr>
              <w:t>Número de cola de la aeronave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48</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0 01 111</w:t>
            </w:r>
          </w:p>
        </w:tc>
        <w:tc>
          <w:tcPr>
            <w:tcW w:type="dxa" w:w="1514"/>
          </w:tcPr>
          <w:p>
            <w:pPr>
              <w:spacing w:before="20" w:after="20"/>
            </w:pPr>
            <w:r/>
            <w:r>
              <w:rPr>
                <w:rFonts w:ascii="Verdana" w:hAnsi="Verdana"/>
                <w:b w:val="0"/>
                <w:sz w:val="16"/>
              </w:rPr>
              <w:t>Aeropuerto de origen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0 01 112</w:t>
            </w:r>
          </w:p>
        </w:tc>
        <w:tc>
          <w:tcPr>
            <w:tcW w:type="dxa" w:w="1514"/>
          </w:tcPr>
          <w:p>
            <w:pPr>
              <w:spacing w:before="20" w:after="20"/>
            </w:pPr>
            <w:r/>
            <w:r>
              <w:rPr>
                <w:rFonts w:ascii="Verdana" w:hAnsi="Verdana"/>
                <w:b w:val="0"/>
                <w:sz w:val="16"/>
              </w:rPr>
              <w:t>Aeropuerto de destino</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0 01 113</w:t>
            </w:r>
          </w:p>
        </w:tc>
        <w:tc>
          <w:tcPr>
            <w:tcW w:type="dxa" w:w="1514"/>
          </w:tcPr>
          <w:p>
            <w:pPr>
              <w:spacing w:before="20" w:after="20"/>
            </w:pPr>
            <w:r/>
            <w:r>
              <w:rPr>
                <w:rFonts w:ascii="Verdana" w:hAnsi="Verdana"/>
                <w:b w:val="0"/>
                <w:sz w:val="16"/>
              </w:rPr>
              <w:t>Número de versión del modelo definido por el centro de origen</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0 01 114</w:t>
            </w:r>
          </w:p>
        </w:tc>
        <w:tc>
          <w:tcPr>
            <w:tcW w:type="dxa" w:w="1514"/>
          </w:tcPr>
          <w:p>
            <w:pPr>
              <w:spacing w:before="20" w:after="20"/>
            </w:pPr>
            <w:r/>
            <w:r>
              <w:rPr>
                <w:rFonts w:ascii="Verdana" w:hAnsi="Verdana"/>
                <w:b w:val="0"/>
                <w:sz w:val="16"/>
              </w:rPr>
              <w:t>Identificación encriptada del buque o de la estación terrestre móvil (encriptación base64)</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352</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0 01 115</w:t>
            </w:r>
          </w:p>
        </w:tc>
        <w:tc>
          <w:tcPr>
            <w:tcW w:type="dxa" w:w="1514"/>
          </w:tcPr>
          <w:p>
            <w:pPr>
              <w:spacing w:before="20" w:after="20"/>
            </w:pPr>
            <w:r/>
            <w:r>
              <w:rPr>
                <w:rFonts w:ascii="Verdana" w:hAnsi="Verdana"/>
                <w:b w:val="0"/>
                <w:sz w:val="16"/>
              </w:rPr>
              <w:t>Identificador del crucero o de la misión en que se recopilaron los datos</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160</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0 01 124</w:t>
            </w:r>
          </w:p>
        </w:tc>
        <w:tc>
          <w:tcPr>
            <w:tcW w:type="dxa" w:w="1514"/>
          </w:tcPr>
          <w:p>
            <w:pPr>
              <w:spacing w:before="20" w:after="20"/>
            </w:pPr>
            <w:r/>
            <w:r>
              <w:rPr>
                <w:rFonts w:ascii="Verdana" w:hAnsi="Verdana"/>
                <w:b w:val="0"/>
                <w:sz w:val="16"/>
              </w:rPr>
              <w:t>Identificador de punto de retícula</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0 01 125</w:t>
            </w:r>
          </w:p>
        </w:tc>
        <w:tc>
          <w:tcPr>
            <w:tcW w:type="dxa" w:w="1514"/>
          </w:tcPr>
          <w:p>
            <w:pPr>
              <w:spacing w:before="20" w:after="20"/>
            </w:pPr>
            <w:r/>
            <w:r>
              <w:rPr>
                <w:rFonts w:ascii="Verdana" w:hAnsi="Verdana"/>
                <w:b w:val="0"/>
                <w:sz w:val="16"/>
              </w:rPr>
              <w:t>Serie de identificadores del WIGOS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0 01 126</w:t>
            </w:r>
          </w:p>
        </w:tc>
        <w:tc>
          <w:tcPr>
            <w:tcW w:type="dxa" w:w="1514"/>
          </w:tcPr>
          <w:p>
            <w:pPr>
              <w:spacing w:before="20" w:after="20"/>
            </w:pPr>
            <w:r/>
            <w:r>
              <w:rPr>
                <w:rFonts w:ascii="Verdana" w:hAnsi="Verdana"/>
                <w:b w:val="0"/>
                <w:sz w:val="16"/>
              </w:rPr>
              <w:t>Emisor del identificador del WIGOS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0 01 127</w:t>
            </w:r>
          </w:p>
        </w:tc>
        <w:tc>
          <w:tcPr>
            <w:tcW w:type="dxa" w:w="1514"/>
          </w:tcPr>
          <w:p>
            <w:pPr>
              <w:spacing w:before="20" w:after="20"/>
            </w:pPr>
            <w:r/>
            <w:r>
              <w:rPr>
                <w:rFonts w:ascii="Verdana" w:hAnsi="Verdana"/>
                <w:b w:val="0"/>
                <w:sz w:val="16"/>
              </w:rPr>
              <w:t>Numero de emisión del WIGOS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0 01 128</w:t>
            </w:r>
          </w:p>
        </w:tc>
        <w:tc>
          <w:tcPr>
            <w:tcW w:type="dxa" w:w="1514"/>
          </w:tcPr>
          <w:p>
            <w:pPr>
              <w:spacing w:before="20" w:after="20"/>
            </w:pPr>
            <w:r/>
            <w:r>
              <w:rPr>
                <w:rFonts w:ascii="Verdana" w:hAnsi="Verdana"/>
                <w:b w:val="0"/>
                <w:sz w:val="16"/>
              </w:rPr>
              <w:t>Identificador local del WIGOS (carácter)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128</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0 01 144</w:t>
            </w:r>
          </w:p>
        </w:tc>
        <w:tc>
          <w:tcPr>
            <w:tcW w:type="dxa" w:w="1514"/>
          </w:tcPr>
          <w:p>
            <w:pPr>
              <w:spacing w:before="20" w:after="20"/>
            </w:pPr>
            <w:r/>
            <w:r>
              <w:rPr>
                <w:rFonts w:ascii="Verdana" w:hAnsi="Verdana"/>
                <w:b w:val="0"/>
                <w:sz w:val="16"/>
              </w:rPr>
              <w:t>Identificador de instantánea</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0 01 150</w:t>
            </w:r>
          </w:p>
        </w:tc>
        <w:tc>
          <w:tcPr>
            <w:tcW w:type="dxa" w:w="1514"/>
          </w:tcPr>
          <w:p>
            <w:pPr>
              <w:spacing w:before="20" w:after="20"/>
            </w:pPr>
            <w:r/>
            <w:r>
              <w:rPr>
                <w:rFonts w:ascii="Verdana" w:hAnsi="Verdana"/>
                <w:b w:val="0"/>
                <w:sz w:val="16"/>
              </w:rPr>
              <w:t>Sistema de coordenadas de referencia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0 01 151</w:t>
            </w:r>
          </w:p>
        </w:tc>
        <w:tc>
          <w:tcPr>
            <w:tcW w:type="dxa" w:w="1514"/>
          </w:tcPr>
          <w:p>
            <w:pPr>
              <w:spacing w:before="20" w:after="20"/>
            </w:pPr>
            <w:r/>
            <w:r>
              <w:rPr>
                <w:rFonts w:ascii="Verdana" w:hAnsi="Verdana"/>
                <w:b w:val="0"/>
                <w:sz w:val="16"/>
              </w:rPr>
              <w:t>Dato de referencia del nivel medio del mar obtenido respecto a una referencia fija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0 01 152</w:t>
            </w:r>
          </w:p>
        </w:tc>
        <w:tc>
          <w:tcPr>
            <w:tcW w:type="dxa" w:w="1514"/>
          </w:tcPr>
          <w:p>
            <w:pPr>
              <w:spacing w:before="20" w:after="20"/>
            </w:pPr>
            <w:r/>
            <w:r>
              <w:rPr>
                <w:rFonts w:ascii="Verdana" w:hAnsi="Verdana"/>
                <w:b w:val="0"/>
                <w:sz w:val="16"/>
              </w:rPr>
              <w:t>Semieje mayor del elipsoide de rotación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0 01 153</w:t>
            </w:r>
          </w:p>
        </w:tc>
        <w:tc>
          <w:tcPr>
            <w:tcW w:type="dxa" w:w="1514"/>
          </w:tcPr>
          <w:p>
            <w:pPr>
              <w:spacing w:before="20" w:after="20"/>
            </w:pPr>
            <w:r/>
            <w:r>
              <w:rPr>
                <w:rFonts w:ascii="Verdana" w:hAnsi="Verdana"/>
                <w:b w:val="0"/>
                <w:sz w:val="16"/>
              </w:rPr>
              <w:t>Semieje menor del elipsoide de rotación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0 01 154</w:t>
            </w:r>
          </w:p>
        </w:tc>
        <w:tc>
          <w:tcPr>
            <w:tcW w:type="dxa" w:w="1514"/>
          </w:tcPr>
          <w:p>
            <w:pPr>
              <w:spacing w:before="20" w:after="20"/>
            </w:pPr>
            <w:r/>
            <w:r>
              <w:rPr>
                <w:rFonts w:ascii="Verdana" w:hAnsi="Verdana"/>
                <w:b w:val="0"/>
                <w:sz w:val="16"/>
              </w:rPr>
              <w:t>Identificador del sensor</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