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Clase 24: Elementos radiológicos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VAL. REF.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Estimación de la cantidad de radiactividad emitida hasta una hora dada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Bq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Bq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Emisión potencial máxima estimada de sustancias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Bq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Bq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Composición de la emisión de sustancias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Carácter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Masa del isótopo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Dosis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mSv*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mSv*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Trayectoria de la dosis (para un lugar y una hora de llegada dados)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mSv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mSv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Dosis de rayos gamma en el aire a lo largo de la ruta del transporte principal (en un lugar preciso y por un período determinado)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mSv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mSv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Tasa de dosis de radiación gamma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nSv h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nSv h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81: La tasa de dosis de radiación gamma 0 24 014 está destinada a los informes relativos a este elemento en condiciones normales, excluyendo los accidentes nucleares. I.2 – BUFR/CREX Tabla B/24 – 2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Concentración en el aire (del tipo de isótopo designado incluyendo la dosis beta bruta)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Bq m</w:t>
            </w:r>
            <w:r>
              <w:rPr>
                <w:rFonts w:ascii="Verdana" w:hAnsi="Verdana"/>
                <w:sz w:val="16"/>
                <w:vertAlign w:val="superscript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Bq m</w:t>
            </w:r>
            <w:r>
              <w:rPr>
                <w:rFonts w:ascii="Verdana" w:hAnsi="Verdana"/>
                <w:sz w:val="16"/>
                <w:vertAlign w:val="superscript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Concentración en las precipitaciones (del tipo de isótopo designado)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Bq l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Bq l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Pulsación de la radiación beta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Pulsación de la radiación gamma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i/>
          <w:sz w:val="14"/>
        </w:rPr>
        <w:t>Note 162: Intervalos útiles utilizados: de 1011 Bq a 1019 Bq para emisiones; de 10–2 Bq a 107 Bq y de 10–2 mSv a 107 mSv para concentraciones y dosis.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