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27: Ubicación sin coordenadas (horizontal – 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(exactitud aproximada)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alterna (exactitud aproximada)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132: Se puede utilizar la latitud alterna cuando el cálculo de la posición nos da varias soluciones y a priori no hay modo de distinguir entre ellas.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alterna (gran exactitud)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132: Se puede utilizar la latitud alterna cuando el cálculo de la posición nos da varias soluciones y a priori no hay modo de distinguir entre ellas.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Eje de huella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Contador de la ubicación de los satélites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143: El contador de ubicación de los satélites se calcula como sigue: = número de superbanda x 1 000 + número de casilla x 10 + número de minicasilla.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Dimensión de sububicación de los satélites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144: La dimensión de la sububicación de los satélites se calcula como sigue: dimensión = dimensión de minicasilla + dimensión de casilla donde: dimensión de minicasilla = líneas x 1000 + puntos x 100 dimensión de casilla = líneas x 10 + puntos. I.2 – BUFR/CREX Tabla B/27 – 1 (Clase 27 – continuación)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desde el centro de la Tierra en dirección de 0 grados de longitud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96: Para el descriptor 0 27 031 se han escogido ejes x, y y z negativos. I.2 – BUFR/CREX Tabla B/27 – 2 | Note 151: El valor para el descriptor 0 27 031 ha sido escogido para adecuarse a satélites en órbita polar en órbitas aproximadamente heliosincrónicas. Las órbitas geoestacionarias requerirían una anchura de datos mayor para la distancia y ligeramente menor para la velocidad.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Anchura horizontal del volumen de muestra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visión azimutal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